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712A0">
      <w:pPr>
        <w:pStyle w:val="11"/>
        <w:keepNext w:val="0"/>
        <w:keepLines w:val="0"/>
        <w:pageBreakBefore w:val="0"/>
        <w:widowControl w:val="0"/>
        <w:kinsoku/>
        <w:wordWrap/>
        <w:overflowPunct/>
        <w:topLinePunct w:val="0"/>
        <w:autoSpaceDE/>
        <w:autoSpaceDN/>
        <w:bidi w:val="0"/>
        <w:adjustRightInd/>
        <w:spacing w:after="0" w:line="560" w:lineRule="exact"/>
        <w:textAlignment w:val="auto"/>
        <w:rPr>
          <w:rFonts w:hint="eastAsia" w:hAnsi="方正小标宋_GBK" w:cs="方正小标宋_GBK"/>
          <w:color w:val="auto"/>
          <w:lang w:eastAsia="zh-CN"/>
        </w:rPr>
      </w:pPr>
      <w:r>
        <w:rPr>
          <w:rFonts w:hint="eastAsia" w:hAnsi="方正小标宋_GBK" w:cs="方正小标宋_GBK"/>
          <w:color w:val="auto"/>
          <w:lang w:val="en-US" w:eastAsia="zh-CN"/>
        </w:rPr>
        <w:t>重庆市</w:t>
      </w:r>
      <w:r>
        <w:rPr>
          <w:rFonts w:hint="eastAsia" w:hAnsi="方正小标宋_GBK" w:cs="方正小标宋_GBK"/>
          <w:color w:val="auto"/>
          <w:lang w:eastAsia="zh-CN"/>
        </w:rPr>
        <w:t>江津区中心医院</w:t>
      </w:r>
    </w:p>
    <w:p w14:paraId="44F8A1BE">
      <w:pPr>
        <w:pStyle w:val="11"/>
        <w:keepNext w:val="0"/>
        <w:keepLines w:val="0"/>
        <w:pageBreakBefore w:val="0"/>
        <w:widowControl w:val="0"/>
        <w:kinsoku/>
        <w:wordWrap/>
        <w:overflowPunct/>
        <w:topLinePunct w:val="0"/>
        <w:autoSpaceDE/>
        <w:autoSpaceDN/>
        <w:bidi w:val="0"/>
        <w:adjustRightInd/>
        <w:spacing w:after="0" w:line="560" w:lineRule="exact"/>
        <w:textAlignment w:val="auto"/>
        <w:rPr>
          <w:rFonts w:hint="default" w:hAnsi="方正小标宋_GBK" w:eastAsia="方正小标宋_GBK" w:cs="方正小标宋_GBK"/>
          <w:color w:val="auto"/>
          <w:lang w:val="en-US" w:eastAsia="zh-CN"/>
        </w:rPr>
      </w:pPr>
      <w:r>
        <w:rPr>
          <w:rFonts w:hint="eastAsia" w:hAnsi="方正小标宋_GBK" w:cs="方正小标宋_GBK"/>
          <w:color w:val="auto"/>
          <w:lang w:val="en-US" w:eastAsia="zh-CN"/>
        </w:rPr>
        <w:t>车库风机安装工程招标公告</w:t>
      </w:r>
    </w:p>
    <w:p w14:paraId="4E7FDEB4">
      <w:pPr>
        <w:keepNext w:val="0"/>
        <w:keepLines w:val="0"/>
        <w:pageBreakBefore w:val="0"/>
        <w:widowControl w:val="0"/>
        <w:tabs>
          <w:tab w:val="left" w:pos="2448"/>
        </w:tabs>
        <w:kinsoku/>
        <w:wordWrap/>
        <w:overflowPunct/>
        <w:topLinePunct w:val="0"/>
        <w:autoSpaceDE/>
        <w:autoSpaceDN/>
        <w:bidi w:val="0"/>
        <w:adjustRightInd/>
        <w:spacing w:line="560" w:lineRule="exact"/>
        <w:textAlignment w:val="auto"/>
        <w:rPr>
          <w:rFonts w:hint="eastAsia" w:ascii="方正仿宋_GBK" w:hAnsi="方正仿宋_GBK" w:eastAsia="方正仿宋_GBK" w:cs="方正仿宋_GBK"/>
          <w:color w:val="auto"/>
          <w:sz w:val="32"/>
          <w:szCs w:val="32"/>
        </w:rPr>
      </w:pPr>
    </w:p>
    <w:p w14:paraId="08590A98">
      <w:pPr>
        <w:keepNext w:val="0"/>
        <w:keepLines w:val="0"/>
        <w:pageBreakBefore w:val="0"/>
        <w:widowControl w:val="0"/>
        <w:tabs>
          <w:tab w:val="left" w:pos="2448"/>
        </w:tabs>
        <w:kinsoku/>
        <w:wordWrap/>
        <w:overflowPunct/>
        <w:topLinePunct w:val="0"/>
        <w:autoSpaceDE/>
        <w:autoSpaceDN/>
        <w:bidi w:val="0"/>
        <w:adjustRightInd/>
        <w:spacing w:line="560" w:lineRule="exact"/>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各投标人：</w:t>
      </w:r>
    </w:p>
    <w:p w14:paraId="211B5068">
      <w:pPr>
        <w:pStyle w:val="11"/>
        <w:keepNext w:val="0"/>
        <w:keepLines w:val="0"/>
        <w:pageBreakBefore w:val="0"/>
        <w:widowControl w:val="0"/>
        <w:kinsoku/>
        <w:wordWrap/>
        <w:overflowPunct/>
        <w:topLinePunct w:val="0"/>
        <w:autoSpaceDE/>
        <w:autoSpaceDN/>
        <w:bidi w:val="0"/>
        <w:adjustRightInd/>
        <w:spacing w:after="0" w:line="560" w:lineRule="exact"/>
        <w:ind w:firstLine="640" w:firstLineChars="200"/>
        <w:jc w:val="left"/>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重庆市</w:t>
      </w:r>
      <w:r>
        <w:rPr>
          <w:rFonts w:hint="eastAsia" w:ascii="方正仿宋_GBK" w:hAnsi="方正仿宋_GBK" w:eastAsia="方正仿宋_GBK" w:cs="方正仿宋_GBK"/>
          <w:color w:val="auto"/>
          <w:sz w:val="32"/>
          <w:szCs w:val="32"/>
        </w:rPr>
        <w:t>江津区中心医院</w:t>
      </w:r>
      <w:r>
        <w:rPr>
          <w:rFonts w:hint="eastAsia" w:ascii="方正仿宋_GBK" w:hAnsi="方正仿宋_GBK" w:eastAsia="方正仿宋_GBK" w:cs="方正仿宋_GBK"/>
          <w:color w:val="auto"/>
          <w:sz w:val="32"/>
          <w:szCs w:val="32"/>
          <w:lang w:val="en-US" w:eastAsia="zh-CN"/>
        </w:rPr>
        <w:t>车库风机安装工程</w:t>
      </w:r>
      <w:r>
        <w:rPr>
          <w:rFonts w:hint="eastAsia" w:ascii="方正仿宋_GBK" w:hAnsi="方正仿宋_GBK" w:eastAsia="方正仿宋_GBK" w:cs="方正仿宋_GBK"/>
          <w:color w:val="auto"/>
          <w:sz w:val="32"/>
          <w:szCs w:val="32"/>
        </w:rPr>
        <w:t>，欢迎有资质有能力有信誉的单位参与投标。</w:t>
      </w:r>
    </w:p>
    <w:p w14:paraId="69C9337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工程概况：</w:t>
      </w:r>
    </w:p>
    <w:p w14:paraId="7D5BEB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楷体_GBK" w:cs="方正仿宋_GBK"/>
          <w:color w:val="auto"/>
          <w:sz w:val="32"/>
          <w:szCs w:val="32"/>
          <w:lang w:val="en-US" w:eastAsia="zh-CN"/>
        </w:rPr>
      </w:pPr>
      <w:r>
        <w:rPr>
          <w:rFonts w:hint="eastAsia" w:ascii="方正楷体_GBK" w:hAnsi="方正楷体_GBK" w:eastAsia="方正楷体_GBK" w:cs="方正楷体_GBK"/>
          <w:color w:val="auto"/>
          <w:sz w:val="32"/>
          <w:szCs w:val="32"/>
        </w:rPr>
        <w:t>（一）</w:t>
      </w:r>
      <w:r>
        <w:rPr>
          <w:rFonts w:hint="eastAsia" w:ascii="方正楷体_GBK" w:hAnsi="方正楷体_GBK" w:eastAsia="方正楷体_GBK" w:cs="方正楷体_GBK"/>
          <w:color w:val="auto"/>
          <w:sz w:val="32"/>
          <w:szCs w:val="32"/>
          <w:lang w:val="en-US" w:eastAsia="zh-CN"/>
        </w:rPr>
        <w:t>建设地点</w:t>
      </w:r>
      <w:r>
        <w:rPr>
          <w:rFonts w:hint="eastAsia" w:ascii="方正楷体_GBK" w:hAnsi="方正楷体_GBK" w:eastAsia="方正楷体_GBK" w:cs="方正楷体_GBK"/>
          <w:color w:val="auto"/>
          <w:sz w:val="32"/>
          <w:szCs w:val="32"/>
        </w:rPr>
        <w:t>：</w:t>
      </w:r>
      <w:r>
        <w:rPr>
          <w:rFonts w:hint="eastAsia" w:ascii="方正仿宋_GBK" w:hAnsi="方正仿宋_GBK" w:eastAsia="方正仿宋_GBK" w:cs="方正仿宋_GBK"/>
          <w:color w:val="auto"/>
          <w:kern w:val="2"/>
          <w:sz w:val="32"/>
          <w:szCs w:val="32"/>
          <w:lang w:val="en-US" w:eastAsia="zh-CN" w:bidi="ar-SA"/>
        </w:rPr>
        <w:t>重庆市江津区中心医院。</w:t>
      </w:r>
    </w:p>
    <w:p w14:paraId="6CC882D1">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rPr>
        <w:t>（二）</w:t>
      </w:r>
      <w:r>
        <w:rPr>
          <w:rFonts w:hint="eastAsia" w:ascii="方正楷体_GBK" w:hAnsi="方正楷体_GBK" w:eastAsia="方正楷体_GBK" w:cs="方正楷体_GBK"/>
          <w:color w:val="auto"/>
          <w:sz w:val="32"/>
          <w:szCs w:val="32"/>
          <w:lang w:val="en-US" w:eastAsia="zh-CN"/>
        </w:rPr>
        <w:t>计划工期：</w:t>
      </w:r>
      <w:r>
        <w:rPr>
          <w:rFonts w:hint="eastAsia" w:ascii="方正仿宋_GBK" w:hAnsi="方正仿宋_GBK" w:eastAsia="方正仿宋_GBK" w:cs="方正仿宋_GBK"/>
          <w:color w:val="auto"/>
          <w:kern w:val="2"/>
          <w:sz w:val="32"/>
          <w:szCs w:val="32"/>
          <w:lang w:val="en-US" w:eastAsia="zh-CN" w:bidi="ar-SA"/>
        </w:rPr>
        <w:t>20日历天</w:t>
      </w:r>
      <w:r>
        <w:rPr>
          <w:rFonts w:hint="eastAsia" w:ascii="方正仿宋_GBK" w:eastAsia="方正仿宋_GBK" w:cs="宋体"/>
          <w:snapToGrid w:val="0"/>
          <w:color w:val="auto"/>
          <w:sz w:val="28"/>
          <w:lang w:eastAsia="zh-CN" w:bidi="ar-SA"/>
        </w:rPr>
        <w:t>。</w:t>
      </w:r>
    </w:p>
    <w:p w14:paraId="41EE3BA3">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楷体_GBK" w:hAnsi="方正楷体_GBK" w:eastAsia="方正楷体_GBK" w:cs="方正楷体_GBK"/>
          <w:color w:val="auto"/>
          <w:sz w:val="32"/>
          <w:szCs w:val="32"/>
          <w:lang w:val="en-US" w:eastAsia="zh-CN"/>
        </w:rPr>
        <w:t>（三）工作内容：</w:t>
      </w:r>
      <w:r>
        <w:rPr>
          <w:rFonts w:hint="eastAsia" w:ascii="方正仿宋_GBK" w:hAnsi="方正仿宋_GBK" w:eastAsia="方正仿宋_GBK" w:cs="方正仿宋_GBK"/>
          <w:color w:val="auto"/>
          <w:sz w:val="32"/>
          <w:szCs w:val="32"/>
          <w:lang w:val="en-US" w:eastAsia="zh-CN"/>
        </w:rPr>
        <w:t>工程量</w:t>
      </w:r>
      <w:r>
        <w:rPr>
          <w:rFonts w:hint="eastAsia" w:ascii="方正仿宋_GBK" w:hAnsi="方正仿宋_GBK" w:eastAsia="方正仿宋_GBK" w:cs="方正仿宋_GBK"/>
          <w:color w:val="auto"/>
          <w:sz w:val="32"/>
          <w:szCs w:val="32"/>
        </w:rPr>
        <w:t>清单</w:t>
      </w:r>
      <w:r>
        <w:rPr>
          <w:rFonts w:hint="eastAsia" w:ascii="方正仿宋_GBK" w:hAnsi="方正仿宋_GBK" w:eastAsia="方正仿宋_GBK" w:cs="方正仿宋_GBK"/>
          <w:color w:val="auto"/>
          <w:sz w:val="32"/>
          <w:szCs w:val="32"/>
          <w:lang w:val="en-US" w:eastAsia="zh-CN"/>
        </w:rPr>
        <w:t>相关内容</w:t>
      </w:r>
      <w:r>
        <w:rPr>
          <w:rFonts w:hint="eastAsia" w:ascii="方正仿宋_GBK" w:hAnsi="方正仿宋_GBK" w:eastAsia="方正仿宋_GBK" w:cs="方正仿宋_GBK"/>
          <w:color w:val="auto"/>
          <w:sz w:val="32"/>
          <w:szCs w:val="32"/>
        </w:rPr>
        <w:t>。</w:t>
      </w:r>
    </w:p>
    <w:p w14:paraId="5AB1D130">
      <w:pPr>
        <w:keepNext w:val="0"/>
        <w:keepLines w:val="0"/>
        <w:pageBreakBefore w:val="0"/>
        <w:widowControl w:val="0"/>
        <w:numPr>
          <w:ilvl w:val="0"/>
          <w:numId w:val="0"/>
        </w:numPr>
        <w:tabs>
          <w:tab w:val="center" w:pos="5290"/>
        </w:tabs>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黑体_GBK" w:hAnsi="方正黑体_GBK" w:eastAsia="方正黑体_GBK" w:cs="方正黑体_GBK"/>
          <w:color w:val="auto"/>
          <w:sz w:val="32"/>
          <w:szCs w:val="32"/>
          <w:lang w:eastAsia="zh-CN"/>
        </w:rPr>
        <w:t>二、</w:t>
      </w:r>
      <w:r>
        <w:rPr>
          <w:rFonts w:hint="eastAsia" w:ascii="方正黑体_GBK" w:hAnsi="方正黑体_GBK" w:eastAsia="方正黑体_GBK" w:cs="方正黑体_GBK"/>
          <w:color w:val="auto"/>
          <w:sz w:val="32"/>
          <w:szCs w:val="32"/>
        </w:rPr>
        <w:t>最高限价：</w:t>
      </w:r>
      <w:r>
        <w:rPr>
          <w:rFonts w:hint="eastAsia" w:ascii="方正仿宋_GBK" w:hAnsi="方正仿宋_GBK" w:eastAsia="方正仿宋_GBK" w:cs="方正仿宋_GBK"/>
          <w:color w:val="auto"/>
          <w:sz w:val="32"/>
          <w:szCs w:val="32"/>
        </w:rPr>
        <w:t>人民币</w:t>
      </w:r>
      <w:r>
        <w:rPr>
          <w:rFonts w:hint="eastAsia" w:ascii="方正仿宋_GBK" w:hAnsi="方正仿宋_GBK" w:eastAsia="方正仿宋_GBK" w:cs="方正仿宋_GBK"/>
          <w:color w:val="auto"/>
          <w:sz w:val="32"/>
          <w:szCs w:val="32"/>
          <w:lang w:val="en-US" w:eastAsia="zh-CN"/>
        </w:rPr>
        <w:t>17000</w:t>
      </w:r>
      <w:r>
        <w:rPr>
          <w:rFonts w:hint="eastAsia" w:ascii="方正仿宋_GBK" w:hAnsi="方正仿宋_GBK" w:eastAsia="方正仿宋_GBK" w:cs="方正仿宋_GBK"/>
          <w:color w:val="auto"/>
          <w:sz w:val="32"/>
          <w:szCs w:val="32"/>
        </w:rPr>
        <w:t>元（大写：</w:t>
      </w:r>
      <w:r>
        <w:rPr>
          <w:rFonts w:hint="eastAsia" w:ascii="方正仿宋_GBK" w:hAnsi="方正仿宋_GBK" w:eastAsia="方正仿宋_GBK" w:cs="方正仿宋_GBK"/>
          <w:color w:val="auto"/>
          <w:sz w:val="32"/>
          <w:szCs w:val="32"/>
          <w:lang w:val="en-US" w:eastAsia="zh-CN"/>
        </w:rPr>
        <w:t>壹万柒仟元整</w:t>
      </w:r>
      <w:r>
        <w:rPr>
          <w:rFonts w:hint="eastAsia" w:ascii="方正仿宋_GBK" w:hAnsi="方正仿宋_GBK" w:eastAsia="方正仿宋_GBK" w:cs="方正仿宋_GBK"/>
          <w:color w:val="auto"/>
          <w:sz w:val="32"/>
          <w:szCs w:val="32"/>
        </w:rPr>
        <w:t>）。</w:t>
      </w:r>
    </w:p>
    <w:p w14:paraId="3E6517B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三</w:t>
      </w:r>
      <w:r>
        <w:rPr>
          <w:rFonts w:hint="eastAsia" w:ascii="方正黑体_GBK" w:hAnsi="方正黑体_GBK" w:eastAsia="方正黑体_GBK" w:cs="方正黑体_GBK"/>
          <w:color w:val="auto"/>
          <w:sz w:val="32"/>
          <w:szCs w:val="32"/>
        </w:rPr>
        <w:t>、投标及开标时间、地点</w:t>
      </w:r>
    </w:p>
    <w:p w14:paraId="6C0994F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楷体_GBK" w:hAnsi="方正楷体_GBK" w:eastAsia="方正楷体_GBK" w:cs="方正楷体_GBK"/>
          <w:color w:val="auto"/>
          <w:sz w:val="32"/>
          <w:szCs w:val="32"/>
        </w:rPr>
        <w:t>（一）投标文件递交</w:t>
      </w:r>
      <w:r>
        <w:rPr>
          <w:rFonts w:hint="eastAsia" w:ascii="方正楷体_GBK" w:hAnsi="方正楷体_GBK" w:eastAsia="方正楷体_GBK" w:cs="方正楷体_GBK"/>
          <w:color w:val="auto"/>
          <w:sz w:val="32"/>
          <w:szCs w:val="32"/>
          <w:lang w:val="en-US" w:eastAsia="zh-CN"/>
        </w:rPr>
        <w:t>截止</w:t>
      </w:r>
      <w:r>
        <w:rPr>
          <w:rFonts w:hint="eastAsia" w:ascii="方正楷体_GBK" w:hAnsi="方正楷体_GBK" w:eastAsia="方正楷体_GBK" w:cs="方正楷体_GBK"/>
          <w:color w:val="auto"/>
          <w:sz w:val="32"/>
          <w:szCs w:val="32"/>
        </w:rPr>
        <w:t>时间：</w:t>
      </w:r>
      <w:r>
        <w:rPr>
          <w:rFonts w:hint="eastAsia" w:ascii="方正仿宋_GBK" w:hAnsi="方正仿宋_GBK" w:eastAsia="方正仿宋_GBK" w:cs="方正仿宋_GBK"/>
          <w:color w:val="auto"/>
          <w:sz w:val="32"/>
          <w:szCs w:val="32"/>
        </w:rPr>
        <w:t>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28</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rPr>
        <w:t>14:55；</w:t>
      </w:r>
    </w:p>
    <w:p w14:paraId="4795222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楷体_GBK" w:hAnsi="方正楷体_GBK" w:eastAsia="方正楷体_GBK" w:cs="方正楷体_GBK"/>
          <w:color w:val="auto"/>
          <w:sz w:val="32"/>
          <w:szCs w:val="32"/>
        </w:rPr>
        <w:t>（二）投标文件递交地点：</w:t>
      </w:r>
      <w:r>
        <w:rPr>
          <w:rFonts w:hint="eastAsia" w:ascii="方正仿宋_GBK" w:hAnsi="方正仿宋_GBK" w:eastAsia="方正仿宋_GBK" w:cs="方正仿宋_GBK"/>
          <w:color w:val="auto"/>
          <w:sz w:val="32"/>
          <w:szCs w:val="32"/>
        </w:rPr>
        <w:t>江津区中心医院</w:t>
      </w:r>
      <w:r>
        <w:rPr>
          <w:rFonts w:hint="eastAsia" w:ascii="方正仿宋_GBK" w:hAnsi="方正仿宋_GBK" w:eastAsia="方正仿宋_GBK" w:cs="方正仿宋_GBK"/>
          <w:color w:val="auto"/>
          <w:sz w:val="32"/>
          <w:szCs w:val="32"/>
          <w:lang w:val="en-US" w:eastAsia="zh-CN"/>
        </w:rPr>
        <w:t>放疗中心二楼</w:t>
      </w:r>
      <w:r>
        <w:rPr>
          <w:rFonts w:hint="eastAsia" w:ascii="方正仿宋_GBK" w:hAnsi="方正仿宋_GBK" w:eastAsia="方正仿宋_GBK" w:cs="方正仿宋_GBK"/>
          <w:color w:val="auto"/>
          <w:sz w:val="32"/>
          <w:szCs w:val="32"/>
        </w:rPr>
        <w:t>会议室；</w:t>
      </w:r>
    </w:p>
    <w:p w14:paraId="227054C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楷体_GBK" w:hAnsi="方正楷体_GBK" w:eastAsia="方正楷体_GBK" w:cs="方正楷体_GBK"/>
          <w:color w:val="auto"/>
          <w:sz w:val="32"/>
          <w:szCs w:val="32"/>
        </w:rPr>
        <w:t>（三）开标时间：</w:t>
      </w:r>
      <w:r>
        <w:rPr>
          <w:rFonts w:hint="eastAsia" w:ascii="方正仿宋_GBK" w:hAnsi="方正仿宋_GBK" w:eastAsia="方正仿宋_GBK" w:cs="方正仿宋_GBK"/>
          <w:color w:val="auto"/>
          <w:sz w:val="32"/>
          <w:szCs w:val="32"/>
        </w:rPr>
        <w:t>202</w:t>
      </w:r>
      <w:r>
        <w:rPr>
          <w:rFonts w:hint="eastAsia" w:ascii="方正仿宋_GBK" w:hAnsi="方正仿宋_GBK" w:eastAsia="方正仿宋_GBK" w:cs="方正仿宋_GBK"/>
          <w:color w:val="auto"/>
          <w:sz w:val="32"/>
          <w:szCs w:val="32"/>
          <w:lang w:val="en-US" w:eastAsia="zh-CN"/>
        </w:rPr>
        <w:t>6</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8</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28</w:t>
      </w:r>
      <w:bookmarkStart w:id="0" w:name="_GoBack"/>
      <w:bookmarkEnd w:id="0"/>
      <w:r>
        <w:rPr>
          <w:rFonts w:hint="eastAsia" w:ascii="方正仿宋_GBK" w:hAnsi="方正仿宋_GBK" w:eastAsia="方正仿宋_GBK" w:cs="方正仿宋_GBK"/>
          <w:color w:val="auto"/>
          <w:sz w:val="32"/>
          <w:szCs w:val="32"/>
        </w:rPr>
        <w:t>日15:00；</w:t>
      </w:r>
    </w:p>
    <w:p w14:paraId="44DA50B9">
      <w:pPr>
        <w:keepNext w:val="0"/>
        <w:keepLines w:val="0"/>
        <w:pageBreakBefore w:val="0"/>
        <w:widowControl w:val="0"/>
        <w:tabs>
          <w:tab w:val="left" w:pos="6920"/>
        </w:tabs>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楷体_GBK" w:hAnsi="方正楷体_GBK" w:eastAsia="方正楷体_GBK" w:cs="方正楷体_GBK"/>
          <w:color w:val="auto"/>
          <w:sz w:val="32"/>
          <w:szCs w:val="32"/>
        </w:rPr>
        <w:t>（四）开标地点：</w:t>
      </w:r>
      <w:r>
        <w:rPr>
          <w:rFonts w:hint="eastAsia" w:ascii="方正仿宋_GBK" w:hAnsi="方正仿宋_GBK" w:eastAsia="方正仿宋_GBK" w:cs="方正仿宋_GBK"/>
          <w:color w:val="auto"/>
          <w:sz w:val="32"/>
          <w:szCs w:val="32"/>
        </w:rPr>
        <w:t>江津区中心医院</w:t>
      </w:r>
      <w:r>
        <w:rPr>
          <w:rFonts w:hint="eastAsia" w:ascii="方正仿宋_GBK" w:hAnsi="方正仿宋_GBK" w:eastAsia="方正仿宋_GBK" w:cs="方正仿宋_GBK"/>
          <w:color w:val="auto"/>
          <w:sz w:val="32"/>
          <w:szCs w:val="32"/>
          <w:lang w:val="en-US" w:eastAsia="zh-CN"/>
        </w:rPr>
        <w:t>放疗中心二楼</w:t>
      </w:r>
      <w:r>
        <w:rPr>
          <w:rFonts w:hint="eastAsia" w:ascii="方正仿宋_GBK" w:hAnsi="方正仿宋_GBK" w:eastAsia="方正仿宋_GBK" w:cs="方正仿宋_GBK"/>
          <w:color w:val="auto"/>
          <w:sz w:val="32"/>
          <w:szCs w:val="32"/>
        </w:rPr>
        <w:t>会议室。</w:t>
      </w:r>
    </w:p>
    <w:p w14:paraId="1C08D8E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四</w:t>
      </w:r>
      <w:r>
        <w:rPr>
          <w:rFonts w:hint="eastAsia" w:ascii="方正黑体_GBK" w:hAnsi="方正黑体_GBK" w:eastAsia="方正黑体_GBK" w:cs="方正黑体_GBK"/>
          <w:color w:val="auto"/>
          <w:sz w:val="32"/>
          <w:szCs w:val="32"/>
        </w:rPr>
        <w:t>、投标须知</w:t>
      </w:r>
    </w:p>
    <w:p w14:paraId="373D330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（一）投标人资格</w:t>
      </w:r>
    </w:p>
    <w:p w14:paraId="59486F19">
      <w:pPr>
        <w:keepNext w:val="0"/>
        <w:keepLines w:val="0"/>
        <w:pageBreakBefore w:val="0"/>
        <w:widowControl w:val="0"/>
        <w:tabs>
          <w:tab w:val="left" w:pos="6920"/>
        </w:tabs>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供应商具有建设行政主管部门颁发的</w:t>
      </w:r>
      <w:r>
        <w:rPr>
          <w:rFonts w:hint="eastAsia" w:ascii="方正仿宋_GBK" w:hAnsi="方正仿宋_GBK" w:eastAsia="方正仿宋_GBK" w:cs="方正仿宋_GBK"/>
          <w:color w:val="auto"/>
          <w:sz w:val="32"/>
          <w:szCs w:val="32"/>
          <w:lang w:val="en-US" w:eastAsia="zh-CN"/>
        </w:rPr>
        <w:t>建筑工程施工总承包叁级及以上或建筑装修装饰专业承包贰级及以上资质</w:t>
      </w:r>
      <w:r>
        <w:rPr>
          <w:rFonts w:hint="eastAsia" w:ascii="方正仿宋_GBK" w:hAnsi="方正仿宋_GBK" w:eastAsia="方正仿宋_GBK" w:cs="方正仿宋_GBK"/>
          <w:color w:val="auto"/>
          <w:sz w:val="32"/>
          <w:szCs w:val="32"/>
        </w:rPr>
        <w:t>（提供资质证书复印件</w:t>
      </w:r>
      <w:r>
        <w:rPr>
          <w:rFonts w:hint="eastAsia" w:ascii="方正仿宋_GBK" w:hAnsi="方正仿宋_GBK" w:eastAsia="方正仿宋_GBK" w:cs="方正仿宋_GBK"/>
          <w:color w:val="auto"/>
          <w:sz w:val="32"/>
          <w:szCs w:val="32"/>
          <w:lang w:val="en-US" w:eastAsia="zh-CN"/>
        </w:rPr>
        <w:t>并加盖供应商公章</w:t>
      </w:r>
      <w:r>
        <w:rPr>
          <w:rFonts w:hint="eastAsia" w:ascii="方正仿宋_GBK" w:hAnsi="方正仿宋_GBK" w:eastAsia="方正仿宋_GBK" w:cs="方正仿宋_GBK"/>
          <w:color w:val="auto"/>
          <w:sz w:val="32"/>
          <w:szCs w:val="32"/>
        </w:rPr>
        <w:t>）；</w:t>
      </w:r>
    </w:p>
    <w:p w14:paraId="60D66CFB">
      <w:pPr>
        <w:keepNext w:val="0"/>
        <w:keepLines w:val="0"/>
        <w:pageBreakBefore w:val="0"/>
        <w:widowControl w:val="0"/>
        <w:tabs>
          <w:tab w:val="left" w:pos="6920"/>
        </w:tabs>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供应商具备建设行政主管部门颁发的有效的安全生产许可证（提供证书复印件</w:t>
      </w:r>
      <w:r>
        <w:rPr>
          <w:rFonts w:hint="eastAsia" w:ascii="方正仿宋_GBK" w:hAnsi="方正仿宋_GBK" w:eastAsia="方正仿宋_GBK" w:cs="方正仿宋_GBK"/>
          <w:color w:val="auto"/>
          <w:sz w:val="32"/>
          <w:szCs w:val="32"/>
          <w:lang w:val="en-US" w:eastAsia="zh-CN"/>
        </w:rPr>
        <w:t>并加盖供应商公章</w:t>
      </w:r>
      <w:r>
        <w:rPr>
          <w:rFonts w:hint="eastAsia" w:ascii="方正仿宋_GBK" w:hAnsi="方正仿宋_GBK" w:eastAsia="方正仿宋_GBK" w:cs="方正仿宋_GBK"/>
          <w:color w:val="auto"/>
          <w:sz w:val="32"/>
          <w:szCs w:val="32"/>
        </w:rPr>
        <w:t>）</w:t>
      </w:r>
      <w:r>
        <w:rPr>
          <w:rFonts w:hint="eastAsia" w:ascii="仿宋" w:hAnsi="仿宋" w:eastAsia="仿宋" w:cs="仿宋"/>
          <w:color w:val="auto"/>
          <w:sz w:val="28"/>
          <w:szCs w:val="28"/>
        </w:rPr>
        <w:t>。</w:t>
      </w:r>
    </w:p>
    <w:p w14:paraId="74AFB3D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（二）第一部分：经济文件</w:t>
      </w:r>
    </w:p>
    <w:p w14:paraId="06116B7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总报价表（格式附后）不能手写，需加盖单位公章。</w:t>
      </w:r>
    </w:p>
    <w:p w14:paraId="666CC37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sz w:val="32"/>
          <w:szCs w:val="32"/>
        </w:rPr>
        <w:t>第二部分：商务和技术文件</w:t>
      </w:r>
    </w:p>
    <w:p w14:paraId="317CA2D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1、营业执照、税务登记证、组织机构代码证、投标人资质证明（复印件盖鲜章）；</w:t>
      </w:r>
    </w:p>
    <w:p w14:paraId="7FC8BEB2">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2、法定代表人身份证明（格式附后），法定代表人委托他人参加</w:t>
      </w:r>
      <w:r>
        <w:rPr>
          <w:rFonts w:hint="eastAsia" w:ascii="方正仿宋_GBK" w:hAnsi="方正仿宋_GBK" w:eastAsia="方正仿宋_GBK" w:cs="方正仿宋_GBK"/>
          <w:color w:val="auto"/>
          <w:sz w:val="32"/>
          <w:szCs w:val="32"/>
          <w:lang w:val="en-US" w:eastAsia="zh-CN"/>
        </w:rPr>
        <w:t>招标</w:t>
      </w:r>
      <w:r>
        <w:rPr>
          <w:rFonts w:hint="eastAsia" w:ascii="方正仿宋_GBK" w:hAnsi="方正仿宋_GBK" w:eastAsia="方正仿宋_GBK" w:cs="方正仿宋_GBK"/>
          <w:color w:val="auto"/>
          <w:sz w:val="32"/>
          <w:szCs w:val="32"/>
        </w:rPr>
        <w:t>活动的，还应提交法定代表人授权委托书（格式附后）。</w:t>
      </w:r>
    </w:p>
    <w:p w14:paraId="4F9435C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（三）投标文件的装订要求</w:t>
      </w:r>
    </w:p>
    <w:p w14:paraId="6A84909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1、投标文件第一部分和第二部装订成一册，必须编页码与目录，用A4纸打印并逐页盖单位公章。</w:t>
      </w:r>
    </w:p>
    <w:p w14:paraId="69F447E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2、投标文件必须密封，封面注明项目名称、投标单位。封面单位名称和密封处加盖单位公章。</w:t>
      </w:r>
    </w:p>
    <w:p w14:paraId="7995F6A2">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（四）有关要求：</w:t>
      </w:r>
    </w:p>
    <w:p w14:paraId="4146856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1、各投标人只对本项目作唯一报价。</w:t>
      </w:r>
    </w:p>
    <w:p w14:paraId="36497302">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2、有以下情形之一的，按无效标处理：</w:t>
      </w:r>
    </w:p>
    <w:p w14:paraId="709664B1">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（1）投标报价超出</w:t>
      </w:r>
      <w:r>
        <w:rPr>
          <w:rFonts w:hint="eastAsia" w:ascii="方正仿宋_GBK" w:hAnsi="方正仿宋_GBK" w:eastAsia="方正仿宋_GBK" w:cs="方正仿宋_GBK"/>
          <w:color w:val="auto"/>
          <w:sz w:val="32"/>
          <w:szCs w:val="32"/>
          <w:lang w:eastAsia="zh-CN"/>
        </w:rPr>
        <w:t>招标</w:t>
      </w:r>
      <w:r>
        <w:rPr>
          <w:rFonts w:hint="eastAsia" w:ascii="方正仿宋_GBK" w:hAnsi="方正仿宋_GBK" w:eastAsia="方正仿宋_GBK" w:cs="方正仿宋_GBK"/>
          <w:color w:val="auto"/>
          <w:sz w:val="32"/>
          <w:szCs w:val="32"/>
        </w:rPr>
        <w:t>最高限价的；</w:t>
      </w:r>
    </w:p>
    <w:p w14:paraId="54C7A4D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（2）投标文件组成内容不齐的；</w:t>
      </w:r>
    </w:p>
    <w:p w14:paraId="21BDC2B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（3）投标文件未装订成册且未按要求加盖公章的；</w:t>
      </w:r>
    </w:p>
    <w:p w14:paraId="5AE9104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（4）报价不完整或出现二个及以上报价的；</w:t>
      </w:r>
    </w:p>
    <w:p w14:paraId="01E857B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（5）投标文件不能完全满足项目实质性要求的。</w:t>
      </w:r>
    </w:p>
    <w:p w14:paraId="69895B92">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3、超过规定时间送达或未按要求密封的投标文件不予受理。</w:t>
      </w:r>
    </w:p>
    <w:p w14:paraId="7A8DBAB9">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4、投标文件一经收取不予退还。</w:t>
      </w:r>
    </w:p>
    <w:p w14:paraId="0787C75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kern w:val="0"/>
          <w:sz w:val="32"/>
          <w:szCs w:val="32"/>
        </w:rPr>
      </w:pPr>
      <w:r>
        <w:rPr>
          <w:rFonts w:hint="eastAsia" w:ascii="方正仿宋_GBK" w:hAnsi="方正仿宋_GBK" w:eastAsia="方正仿宋_GBK" w:cs="方正仿宋_GBK"/>
          <w:color w:val="auto"/>
          <w:sz w:val="32"/>
          <w:szCs w:val="32"/>
        </w:rPr>
        <w:t>5、报价</w:t>
      </w:r>
      <w:r>
        <w:rPr>
          <w:rFonts w:hint="eastAsia" w:ascii="方正仿宋_GBK" w:hAnsi="方正仿宋_GBK" w:eastAsia="方正仿宋_GBK" w:cs="方正仿宋_GBK"/>
          <w:color w:val="auto"/>
          <w:sz w:val="32"/>
          <w:szCs w:val="32"/>
          <w:lang w:eastAsia="zh-CN"/>
        </w:rPr>
        <w:t>包含但不限于</w:t>
      </w:r>
      <w:r>
        <w:rPr>
          <w:rFonts w:hint="eastAsia" w:ascii="方正仿宋_GBK" w:hAnsi="方正仿宋_GBK" w:eastAsia="方正仿宋_GBK" w:cs="方正仿宋_GBK"/>
          <w:color w:val="auto"/>
          <w:sz w:val="32"/>
          <w:szCs w:val="32"/>
        </w:rPr>
        <w:t>主材、辅材、人工、运输、安全文明</w:t>
      </w:r>
      <w:r>
        <w:rPr>
          <w:rFonts w:hint="eastAsia" w:ascii="方正仿宋_GBK" w:hAnsi="方正仿宋_GBK" w:eastAsia="方正仿宋_GBK" w:cs="方正仿宋_GBK"/>
          <w:color w:val="auto"/>
          <w:sz w:val="32"/>
          <w:szCs w:val="32"/>
          <w:lang w:val="en-US" w:eastAsia="zh-CN"/>
        </w:rPr>
        <w:t>施工</w:t>
      </w:r>
      <w:r>
        <w:rPr>
          <w:rFonts w:hint="eastAsia" w:ascii="方正仿宋_GBK" w:hAnsi="方正仿宋_GBK" w:eastAsia="方正仿宋_GBK" w:cs="方正仿宋_GBK"/>
          <w:color w:val="auto"/>
          <w:sz w:val="32"/>
          <w:szCs w:val="32"/>
        </w:rPr>
        <w:t>费、</w:t>
      </w:r>
      <w:r>
        <w:rPr>
          <w:rFonts w:hint="eastAsia" w:ascii="方正仿宋_GBK" w:hAnsi="方正仿宋_GBK" w:eastAsia="方正仿宋_GBK" w:cs="方正仿宋_GBK"/>
          <w:color w:val="auto"/>
          <w:sz w:val="32"/>
          <w:szCs w:val="32"/>
          <w:lang w:val="en-US" w:eastAsia="zh-CN"/>
        </w:rPr>
        <w:t>规费、措施费、</w:t>
      </w:r>
      <w:r>
        <w:rPr>
          <w:rFonts w:hint="eastAsia" w:ascii="方正仿宋_GBK" w:hAnsi="方正仿宋_GBK" w:eastAsia="方正仿宋_GBK" w:cs="方正仿宋_GBK"/>
          <w:color w:val="auto"/>
          <w:sz w:val="32"/>
          <w:szCs w:val="32"/>
        </w:rPr>
        <w:t>税务等一切费用。</w:t>
      </w:r>
    </w:p>
    <w:p w14:paraId="7F1C3DF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6、投标人需前往现场进行实地考查了解咨询详情，若未去一律视为已考察。</w:t>
      </w:r>
    </w:p>
    <w:p w14:paraId="4B5006D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五</w:t>
      </w:r>
      <w:r>
        <w:rPr>
          <w:rFonts w:hint="eastAsia" w:ascii="方正黑体_GBK" w:hAnsi="方正黑体_GBK" w:eastAsia="方正黑体_GBK" w:cs="方正黑体_GBK"/>
          <w:color w:val="auto"/>
          <w:sz w:val="32"/>
          <w:szCs w:val="32"/>
        </w:rPr>
        <w:t>、中标人确定办法</w:t>
      </w:r>
    </w:p>
    <w:p w14:paraId="616EE169">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（一）采取最低价评标法确定成交。即以满足招标需求的最低报价成交；</w:t>
      </w:r>
      <w:r>
        <w:rPr>
          <w:rFonts w:hint="eastAsia" w:ascii="方正仿宋_GBK" w:hAnsi="方正仿宋_GBK" w:eastAsia="方正仿宋_GBK" w:cs="方正仿宋_GBK"/>
          <w:color w:val="auto"/>
          <w:sz w:val="32"/>
          <w:szCs w:val="32"/>
        </w:rPr>
        <w:t>如果出现两个及以上相同的最低报价，则由</w:t>
      </w:r>
      <w:r>
        <w:rPr>
          <w:rFonts w:hint="eastAsia" w:ascii="方正仿宋_GBK" w:hAnsi="方正仿宋_GBK" w:eastAsia="方正仿宋_GBK" w:cs="方正仿宋_GBK"/>
          <w:color w:val="auto"/>
          <w:sz w:val="32"/>
          <w:szCs w:val="32"/>
          <w:lang w:val="en-US" w:eastAsia="zh-CN"/>
        </w:rPr>
        <w:t>招标人择优选取中标人；投标报价以大写金额为准。</w:t>
      </w:r>
    </w:p>
    <w:p w14:paraId="0C8F8292">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（二）中标人因不可抗拒力或者自身原因不能履行合同的，第二中标候选人可顺延为中标人，以此类推到第三中标候选人。招标人也可重新组织招标。</w:t>
      </w:r>
    </w:p>
    <w:p w14:paraId="185DF48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lang w:val="en-US" w:eastAsia="zh-CN"/>
        </w:rPr>
        <w:t>（三）</w:t>
      </w:r>
      <w:r>
        <w:rPr>
          <w:rFonts w:hint="eastAsia" w:ascii="方正仿宋_GBK" w:hAnsi="方正仿宋_GBK" w:eastAsia="方正仿宋_GBK" w:cs="方正仿宋_GBK"/>
          <w:color w:val="auto"/>
          <w:sz w:val="32"/>
          <w:szCs w:val="32"/>
          <w:highlight w:val="none"/>
          <w:lang w:val="en-US" w:eastAsia="zh-CN"/>
        </w:rPr>
        <w:t>当投标人仅为一家时，仍继续组织评审；该投标人通过审查的，即可确定其为中标人。投标人达到两家及以上的，按照正常评审程序组织评审。</w:t>
      </w:r>
    </w:p>
    <w:p w14:paraId="6F6D061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color w:val="auto"/>
          <w:sz w:val="32"/>
          <w:szCs w:val="32"/>
          <w:lang w:eastAsia="zh-CN"/>
        </w:rPr>
      </w:pPr>
      <w:r>
        <w:rPr>
          <w:rFonts w:hint="eastAsia" w:ascii="方正黑体_GBK" w:hAnsi="方正黑体_GBK" w:eastAsia="方正黑体_GBK" w:cs="方正黑体_GBK"/>
          <w:color w:val="auto"/>
          <w:sz w:val="32"/>
          <w:szCs w:val="32"/>
          <w:lang w:val="en-US" w:eastAsia="zh-CN"/>
        </w:rPr>
        <w:t>六、合同签订</w:t>
      </w:r>
    </w:p>
    <w:p w14:paraId="19400801">
      <w:pPr>
        <w:pStyle w:val="8"/>
        <w:pageBreakBefore w:val="0"/>
        <w:widowControl w:val="0"/>
        <w:kinsoku/>
        <w:overflowPunct/>
        <w:topLinePunct w:val="0"/>
        <w:bidi w:val="0"/>
        <w:snapToGrid w:val="0"/>
        <w:spacing w:line="560" w:lineRule="exact"/>
        <w:ind w:firstLine="697" w:firstLineChars="218"/>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中标单位必须在中标通知书发出后15个工作日内，与发包人签订合同。</w:t>
      </w:r>
    </w:p>
    <w:p w14:paraId="0D786D5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七</w:t>
      </w:r>
      <w:r>
        <w:rPr>
          <w:rFonts w:hint="eastAsia" w:ascii="方正黑体_GBK" w:hAnsi="方正黑体_GBK" w:eastAsia="方正黑体_GBK" w:cs="方正黑体_GBK"/>
          <w:color w:val="auto"/>
          <w:sz w:val="32"/>
          <w:szCs w:val="32"/>
        </w:rPr>
        <w:t>、投标人虚假投标、使用虚假材料、恶意方式质疑和不履约等行为的处理细则：</w:t>
      </w:r>
    </w:p>
    <w:p w14:paraId="5286ACC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（一）若投标人的投标文件中资格证明文件缺少任何一项，投标人将承担投标无效的风险（</w:t>
      </w:r>
      <w:r>
        <w:rPr>
          <w:rFonts w:hint="eastAsia" w:ascii="方正仿宋_GBK" w:hAnsi="方正仿宋_GBK" w:eastAsia="方正仿宋_GBK" w:cs="方正仿宋_GBK"/>
          <w:color w:val="auto"/>
          <w:sz w:val="32"/>
          <w:szCs w:val="32"/>
          <w:lang w:eastAsia="zh-CN"/>
        </w:rPr>
        <w:t>招标</w:t>
      </w:r>
      <w:r>
        <w:rPr>
          <w:rFonts w:hint="eastAsia" w:ascii="方正仿宋_GBK" w:hAnsi="方正仿宋_GBK" w:eastAsia="方正仿宋_GBK" w:cs="方正仿宋_GBK"/>
          <w:color w:val="auto"/>
          <w:sz w:val="32"/>
          <w:szCs w:val="32"/>
        </w:rPr>
        <w:t>单位将不再采取任何补救措施和通过任何方式寻求投标文件以外的任何文件使其无效投标变更为有效投标）。</w:t>
      </w:r>
    </w:p>
    <w:p w14:paraId="0A9638A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（二）经查实，若投标人有提供虚假证明文件的行为，</w:t>
      </w:r>
      <w:r>
        <w:rPr>
          <w:rFonts w:hint="eastAsia" w:ascii="方正仿宋_GBK" w:hAnsi="方正仿宋_GBK" w:eastAsia="方正仿宋_GBK" w:cs="方正仿宋_GBK"/>
          <w:color w:val="auto"/>
          <w:sz w:val="32"/>
          <w:szCs w:val="32"/>
          <w:lang w:val="en-US" w:eastAsia="zh-CN"/>
        </w:rPr>
        <w:t>招标人</w:t>
      </w:r>
      <w:r>
        <w:rPr>
          <w:rFonts w:hint="eastAsia" w:ascii="方正仿宋_GBK" w:hAnsi="方正仿宋_GBK" w:eastAsia="方正仿宋_GBK" w:cs="方正仿宋_GBK"/>
          <w:color w:val="auto"/>
          <w:sz w:val="32"/>
          <w:szCs w:val="32"/>
        </w:rPr>
        <w:t>将向有关部门通报。</w:t>
      </w:r>
    </w:p>
    <w:p w14:paraId="37A06A4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（三）投标人认为成交结果使自己的合法权益受到损害的，应当在</w:t>
      </w:r>
      <w:r>
        <w:rPr>
          <w:rFonts w:hint="eastAsia" w:ascii="方正仿宋_GBK" w:hAnsi="方正仿宋_GBK" w:eastAsia="方正仿宋_GBK" w:cs="方正仿宋_GBK"/>
          <w:color w:val="auto"/>
          <w:sz w:val="32"/>
          <w:szCs w:val="32"/>
          <w:lang w:eastAsia="zh-CN"/>
        </w:rPr>
        <w:t>招标</w:t>
      </w:r>
      <w:r>
        <w:rPr>
          <w:rFonts w:hint="eastAsia" w:ascii="方正仿宋_GBK" w:hAnsi="方正仿宋_GBK" w:eastAsia="方正仿宋_GBK" w:cs="方正仿宋_GBK"/>
          <w:color w:val="auto"/>
          <w:sz w:val="32"/>
          <w:szCs w:val="32"/>
        </w:rPr>
        <w:t>结果公示期内，以书面形式向</w:t>
      </w:r>
      <w:r>
        <w:rPr>
          <w:rFonts w:hint="eastAsia" w:ascii="方正仿宋_GBK" w:hAnsi="方正仿宋_GBK" w:eastAsia="方正仿宋_GBK" w:cs="方正仿宋_GBK"/>
          <w:color w:val="auto"/>
          <w:sz w:val="32"/>
          <w:szCs w:val="32"/>
          <w:lang w:eastAsia="zh-CN"/>
        </w:rPr>
        <w:t>招标</w:t>
      </w:r>
      <w:r>
        <w:rPr>
          <w:rFonts w:hint="eastAsia" w:ascii="方正仿宋_GBK" w:hAnsi="方正仿宋_GBK" w:eastAsia="方正仿宋_GBK" w:cs="方正仿宋_GBK"/>
          <w:color w:val="auto"/>
          <w:sz w:val="32"/>
          <w:szCs w:val="32"/>
        </w:rPr>
        <w:t>单位提出质疑。行使质疑权时，必须坚持“谁主张谁举证”，遵守“实事求是”和“谨慎性”原则，承担使用虚假材料或恶意方式质疑的法律责任。</w:t>
      </w:r>
    </w:p>
    <w:p w14:paraId="2953EC2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八</w:t>
      </w:r>
      <w:r>
        <w:rPr>
          <w:rFonts w:hint="eastAsia" w:ascii="方正黑体_GBK" w:hAnsi="方正黑体_GBK" w:eastAsia="方正黑体_GBK" w:cs="方正黑体_GBK"/>
          <w:color w:val="auto"/>
          <w:sz w:val="32"/>
          <w:szCs w:val="32"/>
        </w:rPr>
        <w:t>、质量保证及文明施工</w:t>
      </w:r>
    </w:p>
    <w:p w14:paraId="6371ECD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楷体_GBK" w:hAnsi="方正楷体_GBK" w:eastAsia="方正楷体_GBK" w:cs="方正楷体_GBK"/>
          <w:color w:val="auto"/>
          <w:sz w:val="32"/>
          <w:szCs w:val="32"/>
          <w:lang w:val="en-US" w:eastAsia="zh-CN"/>
        </w:rPr>
      </w:pPr>
      <w:r>
        <w:rPr>
          <w:rFonts w:hint="eastAsia" w:ascii="方正楷体_GBK" w:hAnsi="方正楷体_GBK" w:eastAsia="方正楷体_GBK" w:cs="方正楷体_GBK"/>
          <w:color w:val="auto"/>
          <w:sz w:val="32"/>
          <w:szCs w:val="32"/>
        </w:rPr>
        <w:t>（一）质量</w:t>
      </w:r>
      <w:r>
        <w:rPr>
          <w:rFonts w:hint="eastAsia" w:ascii="方正楷体_GBK" w:hAnsi="方正楷体_GBK" w:eastAsia="方正楷体_GBK" w:cs="方正楷体_GBK"/>
          <w:color w:val="auto"/>
          <w:sz w:val="32"/>
          <w:szCs w:val="32"/>
          <w:lang w:val="en-US" w:eastAsia="zh-CN"/>
        </w:rPr>
        <w:t>保证</w:t>
      </w:r>
    </w:p>
    <w:p w14:paraId="45A6B6CC">
      <w:pPr>
        <w:pStyle w:val="8"/>
        <w:keepNext w:val="0"/>
        <w:keepLines w:val="0"/>
        <w:pageBreakBefore w:val="0"/>
        <w:widowControl w:val="0"/>
        <w:kinsoku/>
        <w:wordWrap/>
        <w:overflowPunct/>
        <w:topLinePunct w:val="0"/>
        <w:autoSpaceDE/>
        <w:autoSpaceDN/>
        <w:bidi w:val="0"/>
        <w:adjustRightInd/>
        <w:snapToGrid w:val="0"/>
        <w:spacing w:line="560" w:lineRule="exact"/>
        <w:ind w:firstLine="627" w:firstLineChars="196"/>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达到国家现行有关施工质量验收规范要求并达到合格标准。</w:t>
      </w:r>
    </w:p>
    <w:p w14:paraId="72A09AD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2"/>
          <w:sz w:val="32"/>
          <w:szCs w:val="32"/>
          <w:lang w:val="en-US" w:eastAsia="zh-CN" w:bidi="ar-SA"/>
        </w:rPr>
      </w:pPr>
      <w:r>
        <w:rPr>
          <w:rFonts w:hint="eastAsia" w:ascii="方正仿宋_GBK" w:hAnsi="方正仿宋_GBK" w:eastAsia="方正仿宋_GBK" w:cs="方正仿宋_GBK"/>
          <w:color w:val="auto"/>
          <w:kern w:val="2"/>
          <w:sz w:val="32"/>
          <w:szCs w:val="32"/>
          <w:lang w:val="en-US" w:eastAsia="zh-CN" w:bidi="ar-SA"/>
        </w:rPr>
        <w:t>投标单位应明确承诺：</w:t>
      </w:r>
      <w:r>
        <w:rPr>
          <w:rFonts w:hint="eastAsia" w:ascii="方正仿宋_GBK" w:hAnsi="方正仿宋_GBK" w:eastAsia="方正仿宋_GBK" w:cs="方正仿宋_GBK"/>
          <w:color w:val="auto"/>
          <w:kern w:val="2"/>
          <w:sz w:val="32"/>
          <w:szCs w:val="32"/>
          <w:lang w:val="en-US" w:eastAsia="zh-CN" w:bidi="ar-SA"/>
        </w:rPr>
        <w:t>质量保证期不低于2年</w:t>
      </w:r>
      <w:r>
        <w:rPr>
          <w:rFonts w:hint="eastAsia" w:ascii="方正仿宋_GBK" w:hAnsi="方正仿宋_GBK" w:eastAsia="方正仿宋_GBK" w:cs="方正仿宋_GBK"/>
          <w:color w:val="auto"/>
          <w:kern w:val="2"/>
          <w:sz w:val="32"/>
          <w:szCs w:val="32"/>
          <w:lang w:val="en-US" w:eastAsia="zh-CN" w:bidi="ar-SA"/>
        </w:rPr>
        <w:t>，所用材料符合国家标准。</w:t>
      </w:r>
    </w:p>
    <w:p w14:paraId="3E7D7BF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（二）文明施工</w:t>
      </w:r>
    </w:p>
    <w:p w14:paraId="1C8F751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施工中不得损坏院方任何设施，如果损坏必须赔偿或修复。运输途中撒落垃圾在院内或楼道内必须及时清理。</w:t>
      </w:r>
    </w:p>
    <w:p w14:paraId="68608E1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九</w:t>
      </w:r>
      <w:r>
        <w:rPr>
          <w:rFonts w:hint="eastAsia" w:ascii="方正黑体_GBK" w:hAnsi="方正黑体_GBK" w:eastAsia="方正黑体_GBK" w:cs="方正黑体_GBK"/>
          <w:color w:val="auto"/>
          <w:sz w:val="32"/>
          <w:szCs w:val="32"/>
        </w:rPr>
        <w:t>、</w:t>
      </w:r>
      <w:r>
        <w:rPr>
          <w:rFonts w:hint="eastAsia" w:ascii="方正黑体_GBK" w:hAnsi="方正黑体_GBK" w:eastAsia="方正黑体_GBK" w:cs="方正黑体_GBK"/>
          <w:color w:val="auto"/>
          <w:sz w:val="32"/>
          <w:szCs w:val="32"/>
          <w:lang w:val="en-US" w:eastAsia="zh-CN"/>
        </w:rPr>
        <w:t>结算</w:t>
      </w:r>
      <w:r>
        <w:rPr>
          <w:rFonts w:hint="eastAsia" w:ascii="方正黑体_GBK" w:hAnsi="方正黑体_GBK" w:eastAsia="方正黑体_GBK" w:cs="方正黑体_GBK"/>
          <w:color w:val="auto"/>
          <w:sz w:val="32"/>
          <w:szCs w:val="32"/>
        </w:rPr>
        <w:t>方式</w:t>
      </w:r>
    </w:p>
    <w:p w14:paraId="01E3E483">
      <w:pPr>
        <w:keepNext w:val="0"/>
        <w:keepLines w:val="0"/>
        <w:pageBreakBefore w:val="0"/>
        <w:widowControl w:val="0"/>
        <w:tabs>
          <w:tab w:val="left" w:pos="7560"/>
        </w:tabs>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采用清单计价，固定综合单价。结算综合单价以</w:t>
      </w:r>
      <w:r>
        <w:rPr>
          <w:rFonts w:hint="eastAsia" w:ascii="方正仿宋_GBK" w:hAnsi="方正仿宋_GBK" w:eastAsia="方正仿宋_GBK" w:cs="方正仿宋_GBK"/>
          <w:color w:val="auto"/>
          <w:sz w:val="32"/>
          <w:szCs w:val="32"/>
          <w:lang w:val="en-US" w:eastAsia="zh-CN"/>
        </w:rPr>
        <w:t>承包</w:t>
      </w:r>
      <w:r>
        <w:rPr>
          <w:rFonts w:hint="eastAsia" w:ascii="方正仿宋_GBK" w:hAnsi="方正仿宋_GBK" w:eastAsia="方正仿宋_GBK" w:cs="方正仿宋_GBK"/>
          <w:color w:val="auto"/>
          <w:sz w:val="32"/>
          <w:szCs w:val="32"/>
          <w:lang w:eastAsia="zh-CN"/>
        </w:rPr>
        <w:t>人</w:t>
      </w:r>
      <w:r>
        <w:rPr>
          <w:rFonts w:hint="eastAsia" w:ascii="方正仿宋_GBK" w:hAnsi="方正仿宋_GBK" w:eastAsia="方正仿宋_GBK" w:cs="方正仿宋_GBK"/>
          <w:color w:val="auto"/>
          <w:sz w:val="32"/>
          <w:szCs w:val="32"/>
          <w:lang w:val="en-US" w:eastAsia="zh-CN"/>
        </w:rPr>
        <w:t>投标</w:t>
      </w:r>
      <w:r>
        <w:rPr>
          <w:rFonts w:hint="eastAsia" w:ascii="方正仿宋_GBK" w:hAnsi="方正仿宋_GBK" w:eastAsia="方正仿宋_GBK" w:cs="方正仿宋_GBK"/>
          <w:color w:val="auto"/>
          <w:sz w:val="32"/>
          <w:szCs w:val="32"/>
          <w:lang w:eastAsia="zh-CN"/>
        </w:rPr>
        <w:t>的综合单价计算，工程量按实际完成合格工程量计算。</w:t>
      </w:r>
    </w:p>
    <w:p w14:paraId="19A7BB65">
      <w:pPr>
        <w:keepNext w:val="0"/>
        <w:keepLines w:val="0"/>
        <w:pageBreakBefore w:val="0"/>
        <w:widowControl w:val="0"/>
        <w:tabs>
          <w:tab w:val="left" w:pos="7560"/>
        </w:tabs>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结算总价=∑已完工合格分部分项工程量清单结算价+分部分项工程量清单新增或变更等引起的增（减）子项结算价+税金。</w:t>
      </w:r>
    </w:p>
    <w:p w14:paraId="2657E8F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lang w:val="en-US" w:eastAsia="zh-CN"/>
        </w:rPr>
        <w:t>十</w:t>
      </w:r>
      <w:r>
        <w:rPr>
          <w:rFonts w:hint="eastAsia" w:ascii="方正黑体_GBK" w:hAnsi="方正黑体_GBK" w:eastAsia="方正黑体_GBK" w:cs="方正黑体_GBK"/>
          <w:color w:val="auto"/>
          <w:sz w:val="32"/>
          <w:szCs w:val="32"/>
        </w:rPr>
        <w:t>、验收和付款方式</w:t>
      </w:r>
    </w:p>
    <w:p w14:paraId="69126A21">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ascii="方正仿宋_GBK" w:hAnsi="方正仿宋_GBK" w:eastAsia="方正仿宋_GBK" w:cs="方正仿宋_GBK"/>
          <w:color w:val="auto"/>
          <w:kern w:val="0"/>
          <w:sz w:val="32"/>
          <w:szCs w:val="32"/>
        </w:rPr>
      </w:pPr>
      <w:r>
        <w:rPr>
          <w:rFonts w:hint="eastAsia" w:ascii="方正楷体_GBK" w:hAnsi="方正楷体_GBK" w:eastAsia="方正楷体_GBK" w:cs="方正楷体_GBK"/>
          <w:color w:val="auto"/>
          <w:sz w:val="32"/>
          <w:szCs w:val="32"/>
        </w:rPr>
        <w:t>（一）验收方式：</w:t>
      </w:r>
      <w:r>
        <w:rPr>
          <w:rFonts w:hint="eastAsia" w:ascii="方正仿宋_GBK" w:hAnsi="方正仿宋_GBK" w:eastAsia="方正仿宋_GBK" w:cs="方正仿宋_GBK"/>
          <w:color w:val="auto"/>
          <w:kern w:val="0"/>
          <w:sz w:val="32"/>
          <w:szCs w:val="32"/>
        </w:rPr>
        <w:t>现场验收，若不符合甲方要求，可拒收。</w:t>
      </w:r>
    </w:p>
    <w:p w14:paraId="0906B14B">
      <w:pPr>
        <w:keepNext w:val="0"/>
        <w:keepLines w:val="0"/>
        <w:pageBreakBefore w:val="0"/>
        <w:widowControl w:val="0"/>
        <w:tabs>
          <w:tab w:val="left" w:pos="7560"/>
        </w:tabs>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val="en-US" w:eastAsia="zh-CN"/>
        </w:rPr>
        <w:t>二</w:t>
      </w:r>
      <w:r>
        <w:rPr>
          <w:rFonts w:hint="eastAsia" w:ascii="方正楷体_GBK" w:hAnsi="方正楷体_GBK" w:eastAsia="方正楷体_GBK" w:cs="方正楷体_GBK"/>
          <w:color w:val="auto"/>
          <w:sz w:val="32"/>
          <w:szCs w:val="32"/>
        </w:rPr>
        <w:t>）付款：</w:t>
      </w:r>
    </w:p>
    <w:p w14:paraId="24E13580">
      <w:pPr>
        <w:keepNext w:val="0"/>
        <w:keepLines w:val="0"/>
        <w:pageBreakBefore w:val="0"/>
        <w:widowControl w:val="0"/>
        <w:tabs>
          <w:tab w:val="left" w:pos="7560"/>
        </w:tabs>
        <w:kinsoku/>
        <w:wordWrap/>
        <w:overflowPunct/>
        <w:topLinePunct w:val="0"/>
        <w:autoSpaceDE/>
        <w:autoSpaceDN/>
        <w:bidi w:val="0"/>
        <w:adjustRightInd/>
        <w:spacing w:line="56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完成服务并经甲方验收合格后30日内支付结算总价的97%，</w:t>
      </w:r>
      <w:r>
        <w:rPr>
          <w:rFonts w:hint="eastAsia" w:ascii="方正仿宋_GBK" w:hAnsi="方正仿宋_GBK" w:eastAsia="方正仿宋_GBK" w:cs="方正仿宋_GBK"/>
          <w:color w:val="auto"/>
          <w:sz w:val="32"/>
          <w:szCs w:val="32"/>
        </w:rPr>
        <w:t>质保期满后无质量问题30日内无息付清余款。</w:t>
      </w:r>
    </w:p>
    <w:p w14:paraId="5A1574A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color w:val="auto"/>
          <w:sz w:val="32"/>
          <w:szCs w:val="32"/>
        </w:rPr>
      </w:pPr>
      <w:r>
        <w:rPr>
          <w:rFonts w:hint="eastAsia" w:ascii="方正黑体_GBK" w:hAnsi="方正黑体_GBK" w:eastAsia="方正黑体_GBK" w:cs="方正黑体_GBK"/>
          <w:color w:val="auto"/>
          <w:sz w:val="32"/>
          <w:szCs w:val="32"/>
        </w:rPr>
        <w:t>十</w:t>
      </w:r>
      <w:r>
        <w:rPr>
          <w:rFonts w:hint="eastAsia" w:ascii="方正黑体_GBK" w:hAnsi="方正黑体_GBK" w:eastAsia="方正黑体_GBK" w:cs="方正黑体_GBK"/>
          <w:color w:val="auto"/>
          <w:sz w:val="32"/>
          <w:szCs w:val="32"/>
          <w:lang w:val="en-US" w:eastAsia="zh-CN"/>
        </w:rPr>
        <w:t>一</w:t>
      </w:r>
      <w:r>
        <w:rPr>
          <w:rFonts w:hint="eastAsia" w:ascii="方正黑体_GBK" w:hAnsi="方正黑体_GBK" w:eastAsia="方正黑体_GBK" w:cs="方正黑体_GBK"/>
          <w:color w:val="auto"/>
          <w:sz w:val="32"/>
          <w:szCs w:val="32"/>
        </w:rPr>
        <w:t>、联系方式</w:t>
      </w:r>
    </w:p>
    <w:p w14:paraId="2E8AB39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联系人：</w:t>
      </w:r>
      <w:r>
        <w:rPr>
          <w:rFonts w:hint="eastAsia" w:ascii="方正仿宋_GBK" w:hAnsi="方正仿宋_GBK" w:eastAsia="方正仿宋_GBK" w:cs="方正仿宋_GBK"/>
          <w:color w:val="auto"/>
          <w:sz w:val="32"/>
          <w:szCs w:val="32"/>
          <w:lang w:val="en-US" w:eastAsia="zh-CN"/>
        </w:rPr>
        <w:t>唐</w:t>
      </w:r>
      <w:r>
        <w:rPr>
          <w:rFonts w:hint="eastAsia" w:ascii="方正仿宋_GBK" w:hAnsi="方正仿宋_GBK" w:eastAsia="方正仿宋_GBK" w:cs="方正仿宋_GBK"/>
          <w:color w:val="auto"/>
          <w:sz w:val="32"/>
          <w:szCs w:val="32"/>
        </w:rPr>
        <w:t>老师、付老师       电话：023-47520861</w:t>
      </w:r>
    </w:p>
    <w:p w14:paraId="655135D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附件：总报价表</w:t>
      </w:r>
    </w:p>
    <w:p w14:paraId="5370A9F4">
      <w:pPr>
        <w:pageBreakBefore w:val="0"/>
        <w:widowControl w:val="0"/>
        <w:kinsoku/>
        <w:overflowPunct/>
        <w:topLinePunct w:val="0"/>
        <w:bidi w:val="0"/>
        <w:snapToGrid w:val="0"/>
        <w:spacing w:line="560" w:lineRule="exact"/>
        <w:ind w:firstLine="480" w:firstLineChars="200"/>
        <w:textAlignment w:val="auto"/>
        <w:rPr>
          <w:rFonts w:ascii="宋体" w:hAnsi="宋体"/>
          <w:color w:val="auto"/>
          <w:sz w:val="24"/>
          <w:szCs w:val="24"/>
        </w:rPr>
      </w:pPr>
    </w:p>
    <w:p w14:paraId="57413073">
      <w:pPr>
        <w:pStyle w:val="12"/>
        <w:pageBreakBefore w:val="0"/>
        <w:widowControl w:val="0"/>
        <w:kinsoku/>
        <w:overflowPunct/>
        <w:topLinePunct w:val="0"/>
        <w:bidi w:val="0"/>
        <w:spacing w:line="560" w:lineRule="exact"/>
        <w:textAlignment w:val="auto"/>
        <w:rPr>
          <w:rFonts w:ascii="宋体" w:hAnsi="宋体"/>
          <w:color w:val="auto"/>
          <w:sz w:val="24"/>
          <w:szCs w:val="24"/>
        </w:rPr>
      </w:pPr>
    </w:p>
    <w:p w14:paraId="4E3F40EB">
      <w:pPr>
        <w:pStyle w:val="12"/>
        <w:pageBreakBefore w:val="0"/>
        <w:widowControl w:val="0"/>
        <w:kinsoku/>
        <w:overflowPunct/>
        <w:topLinePunct w:val="0"/>
        <w:bidi w:val="0"/>
        <w:spacing w:line="560" w:lineRule="exact"/>
        <w:textAlignment w:val="auto"/>
        <w:rPr>
          <w:rFonts w:ascii="宋体" w:hAnsi="宋体"/>
          <w:color w:val="auto"/>
          <w:sz w:val="24"/>
          <w:szCs w:val="24"/>
        </w:rPr>
      </w:pPr>
    </w:p>
    <w:p w14:paraId="405287B2">
      <w:pPr>
        <w:pStyle w:val="12"/>
        <w:pageBreakBefore w:val="0"/>
        <w:widowControl w:val="0"/>
        <w:kinsoku/>
        <w:overflowPunct/>
        <w:topLinePunct w:val="0"/>
        <w:bidi w:val="0"/>
        <w:spacing w:line="560" w:lineRule="exact"/>
        <w:ind w:left="0" w:leftChars="0" w:firstLine="0" w:firstLineChars="0"/>
        <w:textAlignment w:val="auto"/>
        <w:rPr>
          <w:rFonts w:ascii="宋体" w:hAnsi="宋体"/>
          <w:color w:val="auto"/>
          <w:sz w:val="24"/>
          <w:szCs w:val="24"/>
        </w:rPr>
      </w:pPr>
    </w:p>
    <w:p w14:paraId="2E446203">
      <w:pPr>
        <w:pStyle w:val="12"/>
        <w:pageBreakBefore w:val="0"/>
        <w:widowControl w:val="0"/>
        <w:kinsoku/>
        <w:overflowPunct/>
        <w:topLinePunct w:val="0"/>
        <w:bidi w:val="0"/>
        <w:spacing w:line="560" w:lineRule="exact"/>
        <w:ind w:left="0" w:leftChars="0" w:firstLine="0" w:firstLineChars="0"/>
        <w:textAlignment w:val="auto"/>
        <w:rPr>
          <w:rFonts w:ascii="宋体" w:hAnsi="宋体"/>
          <w:color w:val="auto"/>
          <w:sz w:val="24"/>
          <w:szCs w:val="24"/>
        </w:rPr>
      </w:pPr>
    </w:p>
    <w:p w14:paraId="1BE50A63">
      <w:pPr>
        <w:pageBreakBefore w:val="0"/>
        <w:widowControl w:val="0"/>
        <w:kinsoku/>
        <w:overflowPunct/>
        <w:topLinePunct w:val="0"/>
        <w:bidi w:val="0"/>
        <w:snapToGrid w:val="0"/>
        <w:spacing w:line="560" w:lineRule="exact"/>
        <w:jc w:val="center"/>
        <w:textAlignment w:val="auto"/>
        <w:rPr>
          <w:rFonts w:hint="eastAsia" w:ascii="方正小标宋_GBK" w:hAnsi="方正小标宋_GBK" w:eastAsia="方正小标宋_GBK" w:cs="方正小标宋_GBK"/>
          <w:color w:val="auto"/>
          <w:sz w:val="44"/>
          <w:szCs w:val="44"/>
          <w:lang w:eastAsia="zh-CN"/>
        </w:rPr>
      </w:pPr>
    </w:p>
    <w:p w14:paraId="2BE4A39F">
      <w:pPr>
        <w:pStyle w:val="5"/>
        <w:rPr>
          <w:rFonts w:hint="eastAsia"/>
          <w:color w:val="auto"/>
          <w:lang w:eastAsia="zh-CN"/>
        </w:rPr>
      </w:pPr>
    </w:p>
    <w:p w14:paraId="111748BF">
      <w:pPr>
        <w:pageBreakBefore w:val="0"/>
        <w:widowControl w:val="0"/>
        <w:kinsoku/>
        <w:overflowPunct/>
        <w:topLinePunct w:val="0"/>
        <w:bidi w:val="0"/>
        <w:snapToGrid w:val="0"/>
        <w:spacing w:line="560" w:lineRule="exact"/>
        <w:jc w:val="center"/>
        <w:textAlignment w:val="auto"/>
        <w:rPr>
          <w:rFonts w:hint="eastAsia" w:ascii="方正小标宋_GBK" w:hAnsi="方正小标宋_GBK" w:eastAsia="方正小标宋_GBK" w:cs="方正小标宋_GBK"/>
          <w:color w:val="auto"/>
          <w:sz w:val="44"/>
          <w:szCs w:val="44"/>
          <w:lang w:eastAsia="zh-CN"/>
        </w:rPr>
      </w:pPr>
    </w:p>
    <w:p w14:paraId="55E7C0C1">
      <w:pPr>
        <w:rPr>
          <w:rFonts w:hint="eastAsia" w:ascii="方正小标宋_GBK" w:hAnsi="方正小标宋_GBK" w:eastAsia="方正小标宋_GBK" w:cs="方正小标宋_GBK"/>
          <w:color w:val="auto"/>
          <w:sz w:val="44"/>
          <w:szCs w:val="44"/>
          <w:lang w:eastAsia="zh-CN"/>
        </w:rPr>
      </w:pPr>
      <w:r>
        <w:rPr>
          <w:rFonts w:hint="eastAsia" w:ascii="方正小标宋_GBK" w:hAnsi="方正小标宋_GBK" w:eastAsia="方正小标宋_GBK" w:cs="方正小标宋_GBK"/>
          <w:color w:val="auto"/>
          <w:sz w:val="44"/>
          <w:szCs w:val="44"/>
          <w:lang w:eastAsia="zh-CN"/>
        </w:rPr>
        <w:br w:type="page"/>
      </w:r>
    </w:p>
    <w:p w14:paraId="44518E63">
      <w:pPr>
        <w:pageBreakBefore w:val="0"/>
        <w:widowControl w:val="0"/>
        <w:kinsoku/>
        <w:overflowPunct/>
        <w:topLinePunct w:val="0"/>
        <w:bidi w:val="0"/>
        <w:snapToGrid w:val="0"/>
        <w:spacing w:line="560" w:lineRule="exact"/>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lang w:eastAsia="zh-CN"/>
        </w:rPr>
        <w:t>总</w:t>
      </w:r>
      <w:r>
        <w:rPr>
          <w:rFonts w:hint="eastAsia" w:ascii="方正小标宋_GBK" w:hAnsi="方正小标宋_GBK" w:eastAsia="方正小标宋_GBK" w:cs="方正小标宋_GBK"/>
          <w:color w:val="auto"/>
          <w:sz w:val="44"/>
          <w:szCs w:val="44"/>
        </w:rPr>
        <w:t>报价表</w:t>
      </w:r>
    </w:p>
    <w:p w14:paraId="41FF3E90">
      <w:pPr>
        <w:pageBreakBefore w:val="0"/>
        <w:widowControl w:val="0"/>
        <w:kinsoku/>
        <w:overflowPunct/>
        <w:topLinePunct w:val="0"/>
        <w:bidi w:val="0"/>
        <w:snapToGrid w:val="0"/>
        <w:spacing w:line="560" w:lineRule="exact"/>
        <w:ind w:firstLine="560" w:firstLineChars="200"/>
        <w:jc w:val="center"/>
        <w:textAlignment w:val="auto"/>
        <w:rPr>
          <w:rFonts w:hint="eastAsia" w:ascii="宋体" w:hAnsi="宋体" w:eastAsia="宋体"/>
          <w:color w:val="auto"/>
          <w:sz w:val="24"/>
          <w:szCs w:val="24"/>
          <w:lang w:eastAsia="zh-CN"/>
        </w:rPr>
      </w:pPr>
      <w:r>
        <w:rPr>
          <w:rFonts w:hint="eastAsia" w:ascii="宋体" w:hAnsi="宋体"/>
          <w:color w:val="auto"/>
          <w:sz w:val="28"/>
          <w:szCs w:val="28"/>
          <w:lang w:val="en-US" w:eastAsia="zh-CN"/>
        </w:rPr>
        <w:t xml:space="preserve">                                                 </w:t>
      </w:r>
      <w:r>
        <w:rPr>
          <w:rFonts w:hint="eastAsia" w:ascii="方正仿宋_GBK" w:hAnsi="方正仿宋_GBK" w:eastAsia="方正仿宋_GBK" w:cs="方正仿宋_GBK"/>
          <w:color w:val="auto"/>
          <w:sz w:val="32"/>
          <w:szCs w:val="32"/>
          <w:lang w:eastAsia="zh-CN"/>
        </w:rPr>
        <w:t>单位：元</w:t>
      </w:r>
    </w:p>
    <w:tbl>
      <w:tblPr>
        <w:tblStyle w:val="14"/>
        <w:tblpPr w:leftFromText="180" w:rightFromText="180" w:vertAnchor="text" w:horzAnchor="page" w:tblpX="1530" w:tblpY="350"/>
        <w:tblOverlap w:val="never"/>
        <w:tblW w:w="9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5"/>
      </w:tblGrid>
      <w:tr w14:paraId="0795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9135" w:type="dxa"/>
            <w:noWrap/>
          </w:tcPr>
          <w:p w14:paraId="46CE586F">
            <w:pPr>
              <w:pageBreakBefore w:val="0"/>
              <w:widowControl w:val="0"/>
              <w:kinsoku/>
              <w:overflowPunct/>
              <w:topLinePunct w:val="0"/>
              <w:bidi w:val="0"/>
              <w:snapToGrid w:val="0"/>
              <w:spacing w:line="560" w:lineRule="exact"/>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项目名称：</w:t>
            </w:r>
            <w:r>
              <w:rPr>
                <w:rFonts w:hint="eastAsia" w:ascii="方正仿宋_GBK" w:hAnsi="方正仿宋_GBK" w:eastAsia="方正仿宋_GBK" w:cs="方正仿宋_GBK"/>
                <w:color w:val="auto"/>
                <w:sz w:val="32"/>
                <w:szCs w:val="32"/>
                <w:lang w:val="en-US" w:eastAsia="zh-CN"/>
              </w:rPr>
              <w:t>重庆市江津区</w:t>
            </w:r>
            <w:r>
              <w:rPr>
                <w:rFonts w:hint="eastAsia" w:ascii="方正仿宋_GBK" w:hAnsi="方正仿宋_GBK" w:eastAsia="方正仿宋_GBK" w:cs="方正仿宋_GBK"/>
                <w:color w:val="auto"/>
                <w:sz w:val="32"/>
                <w:szCs w:val="32"/>
              </w:rPr>
              <w:t>中心医院</w:t>
            </w:r>
            <w:r>
              <w:rPr>
                <w:rFonts w:hint="eastAsia" w:ascii="方正仿宋_GBK" w:hAnsi="方正仿宋_GBK" w:eastAsia="方正仿宋_GBK" w:cs="方正仿宋_GBK"/>
                <w:color w:val="auto"/>
                <w:sz w:val="32"/>
                <w:szCs w:val="32"/>
                <w:lang w:val="en-US" w:eastAsia="zh-CN"/>
              </w:rPr>
              <w:t>车库风机安装工程</w:t>
            </w:r>
          </w:p>
        </w:tc>
      </w:tr>
      <w:tr w14:paraId="2FD2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9135" w:type="dxa"/>
            <w:noWrap/>
          </w:tcPr>
          <w:p w14:paraId="1F8AD6FD">
            <w:pPr>
              <w:pageBreakBefore w:val="0"/>
              <w:widowControl w:val="0"/>
              <w:kinsoku/>
              <w:overflowPunct/>
              <w:topLinePunct w:val="0"/>
              <w:bidi w:val="0"/>
              <w:snapToGrid w:val="0"/>
              <w:spacing w:line="560" w:lineRule="exact"/>
              <w:textAlignment w:val="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单位名称：</w:t>
            </w:r>
          </w:p>
        </w:tc>
      </w:tr>
      <w:tr w14:paraId="5A54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9135" w:type="dxa"/>
            <w:noWrap/>
          </w:tcPr>
          <w:p w14:paraId="3A078457">
            <w:pPr>
              <w:pageBreakBefore w:val="0"/>
              <w:widowControl w:val="0"/>
              <w:kinsoku/>
              <w:overflowPunct/>
              <w:topLinePunct w:val="0"/>
              <w:bidi w:val="0"/>
              <w:snapToGrid w:val="0"/>
              <w:spacing w:line="56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金额（小写）：</w:t>
            </w:r>
          </w:p>
        </w:tc>
      </w:tr>
      <w:tr w14:paraId="1115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9135" w:type="dxa"/>
            <w:noWrap/>
          </w:tcPr>
          <w:p w14:paraId="31E2F1E2">
            <w:pPr>
              <w:pageBreakBefore w:val="0"/>
              <w:widowControl w:val="0"/>
              <w:kinsoku/>
              <w:overflowPunct/>
              <w:topLinePunct w:val="0"/>
              <w:bidi w:val="0"/>
              <w:snapToGrid w:val="0"/>
              <w:spacing w:line="56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金额（大写）：</w:t>
            </w:r>
          </w:p>
        </w:tc>
      </w:tr>
    </w:tbl>
    <w:p w14:paraId="430C787F">
      <w:pPr>
        <w:pageBreakBefore w:val="0"/>
        <w:widowControl w:val="0"/>
        <w:kinsoku/>
        <w:overflowPunct/>
        <w:topLinePunct w:val="0"/>
        <w:bidi w:val="0"/>
        <w:spacing w:line="56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注：</w:t>
      </w:r>
      <w:r>
        <w:rPr>
          <w:rFonts w:hint="eastAsia" w:ascii="方正仿宋_GBK" w:hAnsi="方正仿宋_GBK" w:eastAsia="方正仿宋_GBK" w:cs="方正仿宋_GBK"/>
          <w:color w:val="auto"/>
          <w:sz w:val="32"/>
          <w:szCs w:val="32"/>
          <w:lang w:val="en-US" w:eastAsia="zh-CN"/>
        </w:rPr>
        <w:t>1</w:t>
      </w:r>
      <w:r>
        <w:rPr>
          <w:rFonts w:hint="eastAsia" w:ascii="宋体" w:hAnsi="宋体"/>
          <w:color w:val="auto"/>
          <w:sz w:val="36"/>
          <w:szCs w:val="36"/>
          <w:lang w:val="en-US" w:eastAsia="zh-CN"/>
        </w:rPr>
        <w:t>、</w:t>
      </w:r>
      <w:r>
        <w:rPr>
          <w:rFonts w:hint="eastAsia" w:ascii="方正仿宋_GBK" w:hAnsi="方正仿宋_GBK" w:eastAsia="方正仿宋_GBK" w:cs="方正仿宋_GBK"/>
          <w:color w:val="auto"/>
          <w:sz w:val="32"/>
          <w:szCs w:val="32"/>
        </w:rPr>
        <w:t>报价</w:t>
      </w:r>
      <w:r>
        <w:rPr>
          <w:rFonts w:hint="eastAsia" w:ascii="方正仿宋_GBK" w:hAnsi="方正仿宋_GBK" w:eastAsia="方正仿宋_GBK" w:cs="方正仿宋_GBK"/>
          <w:color w:val="auto"/>
          <w:sz w:val="32"/>
          <w:szCs w:val="32"/>
          <w:lang w:eastAsia="zh-CN"/>
        </w:rPr>
        <w:t>包含但不限于</w:t>
      </w:r>
      <w:r>
        <w:rPr>
          <w:rFonts w:hint="eastAsia" w:ascii="方正仿宋_GBK" w:hAnsi="方正仿宋_GBK" w:eastAsia="方正仿宋_GBK" w:cs="方正仿宋_GBK"/>
          <w:color w:val="auto"/>
          <w:sz w:val="32"/>
          <w:szCs w:val="32"/>
        </w:rPr>
        <w:t>主材、辅材、人工、运输、安全文明措施费、税务等一切费用。</w:t>
      </w:r>
    </w:p>
    <w:p w14:paraId="0DADA729">
      <w:pPr>
        <w:pStyle w:val="12"/>
        <w:pageBreakBefore w:val="0"/>
        <w:widowControl w:val="0"/>
        <w:kinsoku/>
        <w:overflowPunct/>
        <w:topLinePunct w:val="0"/>
        <w:bidi w:val="0"/>
        <w:spacing w:line="560" w:lineRule="exact"/>
        <w:ind w:left="0" w:leftChars="0" w:firstLine="0" w:firstLineChars="0"/>
        <w:textAlignment w:val="auto"/>
        <w:rPr>
          <w:rFonts w:hint="default" w:eastAsia="方正仿宋_GBK"/>
          <w:color w:val="auto"/>
          <w:lang w:val="en-US" w:eastAsia="zh-CN"/>
        </w:rPr>
      </w:pPr>
      <w:r>
        <w:rPr>
          <w:rFonts w:hint="eastAsia" w:ascii="方正仿宋_GBK" w:hAnsi="方正仿宋_GBK" w:eastAsia="方正仿宋_GBK" w:cs="方正仿宋_GBK"/>
          <w:color w:val="auto"/>
          <w:sz w:val="32"/>
          <w:szCs w:val="32"/>
          <w:lang w:val="en-US" w:eastAsia="zh-CN"/>
        </w:rPr>
        <w:t>2、不能手写，须加盖单位鲜章。</w:t>
      </w:r>
    </w:p>
    <w:p w14:paraId="3AEAF23A">
      <w:pPr>
        <w:pageBreakBefore w:val="0"/>
        <w:widowControl w:val="0"/>
        <w:kinsoku/>
        <w:overflowPunct/>
        <w:topLinePunct w:val="0"/>
        <w:bidi w:val="0"/>
        <w:snapToGrid w:val="0"/>
        <w:spacing w:line="560" w:lineRule="exact"/>
        <w:textAlignment w:val="auto"/>
        <w:rPr>
          <w:rFonts w:ascii="宋体" w:hAnsi="宋体"/>
          <w:color w:val="auto"/>
          <w:sz w:val="24"/>
          <w:szCs w:val="24"/>
        </w:rPr>
      </w:pPr>
    </w:p>
    <w:p w14:paraId="7E3EF9EB">
      <w:pPr>
        <w:pageBreakBefore w:val="0"/>
        <w:widowControl w:val="0"/>
        <w:kinsoku/>
        <w:overflowPunct/>
        <w:topLinePunct w:val="0"/>
        <w:bidi w:val="0"/>
        <w:snapToGrid w:val="0"/>
        <w:spacing w:line="560" w:lineRule="exact"/>
        <w:ind w:firstLine="480" w:firstLineChars="200"/>
        <w:jc w:val="center"/>
        <w:textAlignment w:val="auto"/>
        <w:rPr>
          <w:rFonts w:ascii="宋体" w:hAnsi="宋体"/>
          <w:color w:val="auto"/>
          <w:sz w:val="24"/>
          <w:szCs w:val="24"/>
        </w:rPr>
      </w:pPr>
    </w:p>
    <w:p w14:paraId="2F5DF200">
      <w:pPr>
        <w:pStyle w:val="5"/>
        <w:rPr>
          <w:rFonts w:ascii="宋体" w:hAnsi="宋体"/>
          <w:color w:val="auto"/>
          <w:sz w:val="24"/>
          <w:szCs w:val="24"/>
        </w:rPr>
      </w:pPr>
    </w:p>
    <w:p w14:paraId="512ED59A">
      <w:pPr>
        <w:rPr>
          <w:rFonts w:ascii="宋体" w:hAnsi="宋体"/>
          <w:color w:val="auto"/>
          <w:sz w:val="24"/>
          <w:szCs w:val="24"/>
        </w:rPr>
      </w:pPr>
    </w:p>
    <w:p w14:paraId="31822D80">
      <w:pPr>
        <w:pStyle w:val="5"/>
        <w:rPr>
          <w:rFonts w:ascii="宋体" w:hAnsi="宋体"/>
          <w:color w:val="auto"/>
          <w:sz w:val="24"/>
          <w:szCs w:val="24"/>
        </w:rPr>
      </w:pPr>
    </w:p>
    <w:p w14:paraId="1BC1DE52">
      <w:pPr>
        <w:rPr>
          <w:rFonts w:ascii="宋体" w:hAnsi="宋体"/>
          <w:color w:val="auto"/>
          <w:sz w:val="24"/>
          <w:szCs w:val="24"/>
        </w:rPr>
      </w:pPr>
    </w:p>
    <w:p w14:paraId="1DA85FC4">
      <w:pPr>
        <w:pStyle w:val="5"/>
        <w:rPr>
          <w:color w:val="auto"/>
        </w:rPr>
      </w:pPr>
    </w:p>
    <w:p w14:paraId="544898A1">
      <w:pPr>
        <w:pageBreakBefore w:val="0"/>
        <w:widowControl w:val="0"/>
        <w:kinsoku/>
        <w:overflowPunct/>
        <w:topLinePunct w:val="0"/>
        <w:bidi w:val="0"/>
        <w:snapToGrid w:val="0"/>
        <w:spacing w:line="560" w:lineRule="exact"/>
        <w:ind w:firstLine="480" w:firstLineChars="200"/>
        <w:jc w:val="center"/>
        <w:textAlignment w:val="auto"/>
        <w:rPr>
          <w:rFonts w:ascii="宋体" w:hAnsi="宋体"/>
          <w:color w:val="auto"/>
          <w:sz w:val="24"/>
          <w:szCs w:val="24"/>
        </w:rPr>
      </w:pPr>
    </w:p>
    <w:p w14:paraId="712AB9EB">
      <w:pPr>
        <w:pageBreakBefore w:val="0"/>
        <w:widowControl w:val="0"/>
        <w:kinsoku/>
        <w:overflowPunct/>
        <w:topLinePunct w:val="0"/>
        <w:bidi w:val="0"/>
        <w:snapToGrid w:val="0"/>
        <w:spacing w:line="560" w:lineRule="exact"/>
        <w:ind w:firstLine="480" w:firstLineChars="200"/>
        <w:jc w:val="center"/>
        <w:textAlignment w:val="auto"/>
        <w:rPr>
          <w:rFonts w:ascii="宋体" w:hAnsi="宋体"/>
          <w:color w:val="auto"/>
          <w:sz w:val="24"/>
          <w:szCs w:val="24"/>
        </w:rPr>
      </w:pPr>
    </w:p>
    <w:p w14:paraId="593D1A01">
      <w:pPr>
        <w:rPr>
          <w:color w:val="auto"/>
        </w:rPr>
      </w:pPr>
    </w:p>
    <w:p w14:paraId="70D954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法定代表人身份证明</w:t>
      </w:r>
    </w:p>
    <w:p w14:paraId="4B356E56">
      <w:pPr>
        <w:pageBreakBefore w:val="0"/>
        <w:widowControl w:val="0"/>
        <w:tabs>
          <w:tab w:val="left" w:pos="5565"/>
        </w:tabs>
        <w:kinsoku/>
        <w:overflowPunct/>
        <w:topLinePunct w:val="0"/>
        <w:autoSpaceDE w:val="0"/>
        <w:autoSpaceDN w:val="0"/>
        <w:bidi w:val="0"/>
        <w:spacing w:line="560" w:lineRule="exact"/>
        <w:ind w:firstLine="595" w:firstLineChars="186"/>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投标单位名称：</w:t>
      </w:r>
      <w:r>
        <w:rPr>
          <w:rFonts w:hint="eastAsia" w:ascii="方正仿宋_GBK" w:hAnsi="方正仿宋_GBK" w:eastAsia="方正仿宋_GBK" w:cs="方正仿宋_GBK"/>
          <w:color w:val="auto"/>
          <w:sz w:val="32"/>
          <w:szCs w:val="32"/>
          <w:u w:val="single"/>
        </w:rPr>
        <w:tab/>
      </w:r>
    </w:p>
    <w:p w14:paraId="1A675FA1">
      <w:pPr>
        <w:pageBreakBefore w:val="0"/>
        <w:widowControl w:val="0"/>
        <w:tabs>
          <w:tab w:val="left" w:pos="5565"/>
        </w:tabs>
        <w:kinsoku/>
        <w:overflowPunct/>
        <w:topLinePunct w:val="0"/>
        <w:autoSpaceDE w:val="0"/>
        <w:autoSpaceDN w:val="0"/>
        <w:bidi w:val="0"/>
        <w:spacing w:line="560" w:lineRule="exact"/>
        <w:ind w:firstLine="595" w:firstLineChars="186"/>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单位性质：</w:t>
      </w:r>
      <w:r>
        <w:rPr>
          <w:rFonts w:hint="eastAsia" w:ascii="方正仿宋_GBK" w:hAnsi="方正仿宋_GBK" w:eastAsia="方正仿宋_GBK" w:cs="方正仿宋_GBK"/>
          <w:color w:val="auto"/>
          <w:sz w:val="32"/>
          <w:szCs w:val="32"/>
          <w:u w:val="single"/>
        </w:rPr>
        <w:tab/>
      </w:r>
    </w:p>
    <w:p w14:paraId="2DE3A31F">
      <w:pPr>
        <w:pageBreakBefore w:val="0"/>
        <w:widowControl w:val="0"/>
        <w:tabs>
          <w:tab w:val="left" w:pos="5475"/>
        </w:tabs>
        <w:kinsoku/>
        <w:overflowPunct/>
        <w:topLinePunct w:val="0"/>
        <w:autoSpaceDE w:val="0"/>
        <w:autoSpaceDN w:val="0"/>
        <w:bidi w:val="0"/>
        <w:spacing w:line="560" w:lineRule="exact"/>
        <w:ind w:firstLine="595" w:firstLineChars="186"/>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地址：</w:t>
      </w:r>
      <w:r>
        <w:rPr>
          <w:rFonts w:hint="eastAsia" w:ascii="方正仿宋_GBK" w:hAnsi="方正仿宋_GBK" w:eastAsia="方正仿宋_GBK" w:cs="方正仿宋_GBK"/>
          <w:color w:val="auto"/>
          <w:sz w:val="32"/>
          <w:szCs w:val="32"/>
          <w:u w:val="single"/>
        </w:rPr>
        <w:tab/>
      </w:r>
    </w:p>
    <w:p w14:paraId="52671456">
      <w:pPr>
        <w:pageBreakBefore w:val="0"/>
        <w:widowControl w:val="0"/>
        <w:tabs>
          <w:tab w:val="left" w:pos="2520"/>
          <w:tab w:val="left" w:pos="3836"/>
        </w:tabs>
        <w:kinsoku/>
        <w:overflowPunct/>
        <w:topLinePunct w:val="0"/>
        <w:autoSpaceDE w:val="0"/>
        <w:autoSpaceDN w:val="0"/>
        <w:bidi w:val="0"/>
        <w:spacing w:line="560" w:lineRule="exact"/>
        <w:ind w:firstLine="595" w:firstLineChars="186"/>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成立时间：</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u w:val="single"/>
        </w:rPr>
        <w:t xml:space="preserve"> </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rPr>
        <w:t>日</w:t>
      </w:r>
    </w:p>
    <w:p w14:paraId="17E61722">
      <w:pPr>
        <w:pageBreakBefore w:val="0"/>
        <w:widowControl w:val="0"/>
        <w:tabs>
          <w:tab w:val="left" w:pos="5475"/>
        </w:tabs>
        <w:kinsoku/>
        <w:overflowPunct/>
        <w:topLinePunct w:val="0"/>
        <w:autoSpaceDE w:val="0"/>
        <w:autoSpaceDN w:val="0"/>
        <w:bidi w:val="0"/>
        <w:spacing w:line="560" w:lineRule="exact"/>
        <w:ind w:firstLine="595" w:firstLineChars="186"/>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经营期限：</w:t>
      </w:r>
      <w:r>
        <w:rPr>
          <w:rFonts w:hint="eastAsia" w:ascii="方正仿宋_GBK" w:hAnsi="方正仿宋_GBK" w:eastAsia="方正仿宋_GBK" w:cs="方正仿宋_GBK"/>
          <w:color w:val="auto"/>
          <w:sz w:val="32"/>
          <w:szCs w:val="32"/>
          <w:u w:val="single"/>
        </w:rPr>
        <w:tab/>
      </w:r>
    </w:p>
    <w:p w14:paraId="0490C15D">
      <w:pPr>
        <w:pageBreakBefore w:val="0"/>
        <w:widowControl w:val="0"/>
        <w:tabs>
          <w:tab w:val="left" w:pos="1580"/>
          <w:tab w:val="left" w:pos="2710"/>
          <w:tab w:val="left" w:pos="4840"/>
          <w:tab w:val="left" w:pos="6300"/>
        </w:tabs>
        <w:kinsoku/>
        <w:overflowPunct/>
        <w:topLinePunct w:val="0"/>
        <w:autoSpaceDE w:val="0"/>
        <w:autoSpaceDN w:val="0"/>
        <w:bidi w:val="0"/>
        <w:spacing w:line="560" w:lineRule="exact"/>
        <w:ind w:firstLine="595" w:firstLineChars="186"/>
        <w:textAlignment w:val="auto"/>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姓名：</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rPr>
        <w:t xml:space="preserve"> 性别：</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rPr>
        <w:t>年龄：</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rPr>
        <w:t>职务：</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u w:val="single"/>
          <w:lang w:val="en-US" w:eastAsia="zh-CN"/>
        </w:rPr>
        <w:t xml:space="preserve">  </w:t>
      </w:r>
    </w:p>
    <w:p w14:paraId="1B3A4028">
      <w:pPr>
        <w:pageBreakBefore w:val="0"/>
        <w:widowControl w:val="0"/>
        <w:tabs>
          <w:tab w:val="left" w:pos="3360"/>
        </w:tabs>
        <w:kinsoku/>
        <w:overflowPunct/>
        <w:topLinePunct w:val="0"/>
        <w:autoSpaceDE w:val="0"/>
        <w:autoSpaceDN w:val="0"/>
        <w:bidi w:val="0"/>
        <w:spacing w:line="560" w:lineRule="exact"/>
        <w:ind w:firstLine="595" w:firstLineChars="186"/>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系</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rPr>
        <w:t>的法定代表人。</w:t>
      </w:r>
    </w:p>
    <w:p w14:paraId="08B6250A">
      <w:pPr>
        <w:pageBreakBefore w:val="0"/>
        <w:widowControl w:val="0"/>
        <w:tabs>
          <w:tab w:val="left" w:pos="3360"/>
        </w:tabs>
        <w:kinsoku/>
        <w:overflowPunct/>
        <w:topLinePunct w:val="0"/>
        <w:autoSpaceDE w:val="0"/>
        <w:autoSpaceDN w:val="0"/>
        <w:bidi w:val="0"/>
        <w:spacing w:line="560" w:lineRule="exact"/>
        <w:ind w:firstLine="595" w:firstLineChars="186"/>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特此证明。</w:t>
      </w:r>
    </w:p>
    <w:p w14:paraId="3A40A37D">
      <w:pPr>
        <w:pageBreakBefore w:val="0"/>
        <w:widowControl w:val="0"/>
        <w:tabs>
          <w:tab w:val="left" w:pos="6485"/>
        </w:tabs>
        <w:kinsoku/>
        <w:overflowPunct/>
        <w:topLinePunct w:val="0"/>
        <w:autoSpaceDE w:val="0"/>
        <w:autoSpaceDN w:val="0"/>
        <w:bidi w:val="0"/>
        <w:spacing w:line="560" w:lineRule="exact"/>
        <w:ind w:firstLine="2080" w:firstLineChars="65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投标单位：</w:t>
      </w:r>
      <w:r>
        <w:rPr>
          <w:rFonts w:hint="eastAsia" w:ascii="方正仿宋_GBK" w:hAnsi="方正仿宋_GBK" w:eastAsia="方正仿宋_GBK" w:cs="方正仿宋_GBK"/>
          <w:color w:val="auto"/>
          <w:sz w:val="32"/>
          <w:szCs w:val="32"/>
          <w:u w:val="single"/>
        </w:rPr>
        <w:tab/>
      </w:r>
      <w:r>
        <w:rPr>
          <w:rFonts w:hint="eastAsia" w:ascii="方正仿宋_GBK" w:hAnsi="方正仿宋_GBK" w:eastAsia="方正仿宋_GBK" w:cs="方正仿宋_GBK"/>
          <w:color w:val="auto"/>
          <w:sz w:val="32"/>
          <w:szCs w:val="32"/>
        </w:rPr>
        <w:t>（盖单位公章）</w:t>
      </w:r>
    </w:p>
    <w:p w14:paraId="72DAA7E3">
      <w:pPr>
        <w:pageBreakBefore w:val="0"/>
        <w:widowControl w:val="0"/>
        <w:tabs>
          <w:tab w:val="left" w:pos="3975"/>
          <w:tab w:val="left" w:pos="5460"/>
          <w:tab w:val="left" w:pos="6400"/>
        </w:tabs>
        <w:kinsoku/>
        <w:overflowPunct/>
        <w:topLinePunct w:val="0"/>
        <w:autoSpaceDE w:val="0"/>
        <w:autoSpaceDN w:val="0"/>
        <w:bidi w:val="0"/>
        <w:spacing w:line="560" w:lineRule="exact"/>
        <w:ind w:firstLine="3360" w:firstLineChars="1050"/>
        <w:jc w:val="both"/>
        <w:textAlignment w:val="auto"/>
        <w:rPr>
          <w:rFonts w:ascii="方正仿宋_GBK" w:hAnsi="方正仿宋_GBK" w:eastAsia="方正仿宋_GBK" w:cs="方正仿宋_GBK"/>
          <w:color w:val="auto"/>
          <w:w w:val="200"/>
          <w:sz w:val="32"/>
          <w:szCs w:val="32"/>
          <w:u w:val="single"/>
        </w:rPr>
      </w:pPr>
      <w:r>
        <w:rPr>
          <w:rFonts w:hint="eastAsia" w:ascii="方正仿宋_GBK" w:hAnsi="方正仿宋_GBK" w:eastAsia="方正仿宋_GBK" w:cs="方正仿宋_GBK"/>
          <w:color w:val="auto"/>
          <w:sz w:val="32"/>
          <w:szCs w:val="32"/>
        </w:rPr>
        <w:t>年</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月</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日</w:t>
      </w:r>
    </w:p>
    <w:p w14:paraId="67D857D6">
      <w:pPr>
        <w:pageBreakBefore w:val="0"/>
        <w:widowControl w:val="0"/>
        <w:kinsoku/>
        <w:overflowPunct/>
        <w:topLinePunct w:val="0"/>
        <w:bidi w:val="0"/>
        <w:spacing w:line="560" w:lineRule="exact"/>
        <w:ind w:right="560"/>
        <w:jc w:val="center"/>
        <w:textAlignment w:val="auto"/>
        <w:rPr>
          <w:rFonts w:ascii="方正仿宋_GBK" w:hAnsi="方正仿宋_GBK" w:eastAsia="方正仿宋_GBK" w:cs="方正仿宋_GBK"/>
          <w:b/>
          <w:color w:val="auto"/>
          <w:sz w:val="32"/>
          <w:szCs w:val="32"/>
        </w:rPr>
      </w:pPr>
    </w:p>
    <w:p w14:paraId="3D7B7A80">
      <w:pPr>
        <w:pStyle w:val="5"/>
        <w:rPr>
          <w:rFonts w:ascii="方正仿宋_GBK" w:hAnsi="方正仿宋_GBK" w:eastAsia="方正仿宋_GBK" w:cs="方正仿宋_GBK"/>
          <w:b/>
          <w:color w:val="auto"/>
          <w:sz w:val="32"/>
          <w:szCs w:val="32"/>
        </w:rPr>
      </w:pPr>
    </w:p>
    <w:p w14:paraId="59956842">
      <w:pPr>
        <w:pStyle w:val="5"/>
        <w:rPr>
          <w:color w:val="auto"/>
        </w:rPr>
      </w:pPr>
    </w:p>
    <w:p w14:paraId="46D01B71">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黑体_GBK" w:hAnsi="方正黑体_GBK" w:eastAsia="方正黑体_GBK" w:cs="方正黑体_GBK"/>
          <w:b w:val="0"/>
          <w:bCs/>
          <w:color w:val="auto"/>
          <w:sz w:val="32"/>
          <w:szCs w:val="32"/>
        </w:rPr>
      </w:pPr>
    </w:p>
    <w:p w14:paraId="2F38B546">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黑体_GBK" w:hAnsi="方正黑体_GBK" w:eastAsia="方正黑体_GBK" w:cs="方正黑体_GBK"/>
          <w:b w:val="0"/>
          <w:bCs/>
          <w:color w:val="auto"/>
          <w:sz w:val="32"/>
          <w:szCs w:val="32"/>
        </w:rPr>
      </w:pPr>
    </w:p>
    <w:p w14:paraId="74F39B9C">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黑体_GBK" w:hAnsi="方正黑体_GBK" w:eastAsia="方正黑体_GBK" w:cs="方正黑体_GBK"/>
          <w:b w:val="0"/>
          <w:bCs/>
          <w:color w:val="auto"/>
          <w:sz w:val="32"/>
          <w:szCs w:val="32"/>
        </w:rPr>
      </w:pPr>
    </w:p>
    <w:p w14:paraId="6290A7C5">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黑体_GBK" w:hAnsi="方正黑体_GBK" w:eastAsia="方正黑体_GBK" w:cs="方正黑体_GBK"/>
          <w:b w:val="0"/>
          <w:bCs/>
          <w:color w:val="auto"/>
          <w:sz w:val="32"/>
          <w:szCs w:val="32"/>
        </w:rPr>
      </w:pPr>
    </w:p>
    <w:p w14:paraId="762C33A6">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黑体_GBK" w:hAnsi="方正黑体_GBK" w:eastAsia="方正黑体_GBK" w:cs="方正黑体_GBK"/>
          <w:b w:val="0"/>
          <w:bCs/>
          <w:color w:val="auto"/>
          <w:sz w:val="32"/>
          <w:szCs w:val="32"/>
        </w:rPr>
      </w:pPr>
    </w:p>
    <w:p w14:paraId="50041C80">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黑体_GBK" w:hAnsi="方正黑体_GBK" w:eastAsia="方正黑体_GBK" w:cs="方正黑体_GBK"/>
          <w:b w:val="0"/>
          <w:bCs/>
          <w:color w:val="auto"/>
          <w:sz w:val="32"/>
          <w:szCs w:val="32"/>
        </w:rPr>
      </w:pPr>
    </w:p>
    <w:p w14:paraId="1D7B8E65">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hint="eastAsia" w:ascii="方正黑体_GBK" w:hAnsi="方正黑体_GBK" w:eastAsia="方正黑体_GBK" w:cs="方正黑体_GBK"/>
          <w:b w:val="0"/>
          <w:bCs/>
          <w:color w:val="auto"/>
          <w:sz w:val="32"/>
          <w:szCs w:val="32"/>
        </w:rPr>
      </w:pPr>
    </w:p>
    <w:p w14:paraId="742384BE">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黑体_GBK" w:hAnsi="方正黑体_GBK" w:eastAsia="方正黑体_GBK" w:cs="方正黑体_GBK"/>
          <w:b w:val="0"/>
          <w:bCs/>
          <w:color w:val="auto"/>
          <w:sz w:val="32"/>
          <w:szCs w:val="32"/>
        </w:rPr>
      </w:pPr>
    </w:p>
    <w:p w14:paraId="7C8FDC6E">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方正黑体_GBK" w:hAnsi="方正黑体_GBK" w:eastAsia="方正黑体_GBK" w:cs="方正黑体_GBK"/>
          <w:b w:val="0"/>
          <w:bCs/>
          <w:color w:val="auto"/>
          <w:sz w:val="32"/>
          <w:szCs w:val="32"/>
        </w:rPr>
      </w:pPr>
      <w:r>
        <w:rPr>
          <w:rFonts w:hint="eastAsia" w:ascii="方正黑体_GBK" w:hAnsi="方正黑体_GBK" w:eastAsia="方正黑体_GBK" w:cs="方正黑体_GBK"/>
          <w:b w:val="0"/>
          <w:bCs/>
          <w:color w:val="auto"/>
          <w:sz w:val="32"/>
          <w:szCs w:val="32"/>
        </w:rPr>
        <w:t>法定代表人授权委托书</w:t>
      </w:r>
    </w:p>
    <w:p w14:paraId="0CF1BE8E">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本授权书声明：我</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u w:val="single"/>
        </w:rPr>
        <w:t>（姓名）</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rPr>
        <w:t>系</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u w:val="single"/>
        </w:rPr>
        <w:t>（投标单位名称）</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rPr>
        <w:t>的法定代表人，现授权我单位的</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u w:val="single"/>
        </w:rPr>
        <w:t>（姓名）</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color w:val="auto"/>
          <w:sz w:val="32"/>
          <w:szCs w:val="32"/>
        </w:rPr>
        <w:t>为我公司授权代理人，以本公司的名义参加重庆市江津区中心医院的</w:t>
      </w:r>
      <w:r>
        <w:rPr>
          <w:rFonts w:hint="eastAsia" w:ascii="方正仿宋_GBK" w:hAnsi="方正仿宋_GBK" w:eastAsia="方正仿宋_GBK" w:cs="方正仿宋_GBK"/>
          <w:color w:val="auto"/>
          <w:sz w:val="32"/>
          <w:szCs w:val="32"/>
          <w:u w:val="single"/>
          <w:lang w:val="en-US" w:eastAsia="zh-CN"/>
        </w:rPr>
        <w:t xml:space="preserve">  </w:t>
      </w:r>
      <w:r>
        <w:rPr>
          <w:rFonts w:hint="eastAsia" w:ascii="方正仿宋_GBK" w:hAnsi="方正仿宋_GBK" w:eastAsia="方正仿宋_GBK" w:cs="方正仿宋_GBK"/>
          <w:i w:val="0"/>
          <w:iCs w:val="0"/>
          <w:color w:val="auto"/>
          <w:sz w:val="32"/>
          <w:szCs w:val="32"/>
          <w:u w:val="single"/>
          <w:lang w:val="en-US" w:eastAsia="zh-CN"/>
        </w:rPr>
        <w:t xml:space="preserve"> </w:t>
      </w:r>
      <w:r>
        <w:rPr>
          <w:rFonts w:hint="eastAsia" w:ascii="方正仿宋_GBK" w:hAnsi="方正仿宋_GBK" w:eastAsia="方正仿宋_GBK" w:cs="方正仿宋_GBK"/>
          <w:i w:val="0"/>
          <w:iCs w:val="0"/>
          <w:color w:val="auto"/>
          <w:sz w:val="32"/>
          <w:szCs w:val="32"/>
          <w:u w:val="single"/>
        </w:rPr>
        <w:t>（项目名称）</w:t>
      </w:r>
      <w:r>
        <w:rPr>
          <w:rFonts w:hint="eastAsia" w:ascii="方正仿宋_GBK" w:hAnsi="方正仿宋_GBK" w:eastAsia="方正仿宋_GBK" w:cs="方正仿宋_GBK"/>
          <w:i w:val="0"/>
          <w:iCs w:val="0"/>
          <w:color w:val="auto"/>
          <w:sz w:val="32"/>
          <w:szCs w:val="32"/>
          <w:u w:val="single"/>
          <w:lang w:val="en-US" w:eastAsia="zh-CN"/>
        </w:rPr>
        <w:t xml:space="preserve">    </w:t>
      </w:r>
      <w:r>
        <w:rPr>
          <w:rFonts w:hint="eastAsia" w:ascii="方正仿宋_GBK" w:hAnsi="方正仿宋_GBK" w:eastAsia="方正仿宋_GBK" w:cs="方正仿宋_GBK"/>
          <w:color w:val="auto"/>
          <w:sz w:val="32"/>
          <w:szCs w:val="32"/>
          <w:lang w:eastAsia="zh-CN"/>
        </w:rPr>
        <w:t>招标</w:t>
      </w:r>
      <w:r>
        <w:rPr>
          <w:rFonts w:hint="eastAsia" w:ascii="方正仿宋_GBK" w:hAnsi="方正仿宋_GBK" w:eastAsia="方正仿宋_GBK" w:cs="方正仿宋_GBK"/>
          <w:color w:val="auto"/>
          <w:sz w:val="32"/>
          <w:szCs w:val="32"/>
        </w:rPr>
        <w:t>活动。授权代理人在本次</w:t>
      </w:r>
      <w:r>
        <w:rPr>
          <w:rFonts w:hint="eastAsia" w:ascii="方正仿宋_GBK" w:hAnsi="方正仿宋_GBK" w:eastAsia="方正仿宋_GBK" w:cs="方正仿宋_GBK"/>
          <w:color w:val="auto"/>
          <w:sz w:val="32"/>
          <w:szCs w:val="32"/>
          <w:lang w:eastAsia="zh-CN"/>
        </w:rPr>
        <w:t>招标</w:t>
      </w:r>
      <w:r>
        <w:rPr>
          <w:rFonts w:hint="eastAsia" w:ascii="方正仿宋_GBK" w:hAnsi="方正仿宋_GBK" w:eastAsia="方正仿宋_GBK" w:cs="方正仿宋_GBK"/>
          <w:color w:val="auto"/>
          <w:sz w:val="32"/>
          <w:szCs w:val="32"/>
        </w:rPr>
        <w:t>过程中所签署的一切文件和处理与之有关的一切事务，我均予以承认。</w:t>
      </w:r>
    </w:p>
    <w:p w14:paraId="422F018C">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授权代理人：         性别：       年龄：    岁</w:t>
      </w:r>
    </w:p>
    <w:p w14:paraId="2A9E60EC">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 xml:space="preserve">单位：             </w:t>
      </w:r>
      <w:r>
        <w:rPr>
          <w:rFonts w:hint="eastAsia" w:ascii="方正仿宋_GBK" w:hAnsi="方正仿宋_GBK" w:eastAsia="方正仿宋_GBK" w:cs="方正仿宋_GBK"/>
          <w:color w:val="auto"/>
          <w:sz w:val="32"/>
          <w:szCs w:val="32"/>
          <w:lang w:val="en-US" w:eastAsia="zh-CN"/>
        </w:rPr>
        <w:t xml:space="preserve">                 </w:t>
      </w:r>
    </w:p>
    <w:p w14:paraId="730F5E21">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部门：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职务：</w:t>
      </w:r>
    </w:p>
    <w:p w14:paraId="3754E9E1">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授权代理人无转让权，特此授权。</w:t>
      </w:r>
    </w:p>
    <w:p w14:paraId="2DBA9044">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投标单位：（盖章）</w:t>
      </w:r>
    </w:p>
    <w:p w14:paraId="3E8DA667">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法定表人：（签字或盖章）</w:t>
      </w:r>
    </w:p>
    <w:p w14:paraId="762A0A9E">
      <w:pPr>
        <w:pageBreakBefore w:val="0"/>
        <w:widowControl w:val="0"/>
        <w:kinsoku/>
        <w:overflowPunct/>
        <w:topLinePunct w:val="0"/>
        <w:bidi w:val="0"/>
        <w:spacing w:line="560" w:lineRule="exact"/>
        <w:textAlignment w:val="auto"/>
        <w:rPr>
          <w:color w:val="auto"/>
        </w:rPr>
      </w:pPr>
    </w:p>
    <w:tbl>
      <w:tblPr>
        <w:tblStyle w:val="13"/>
        <w:tblpPr w:leftFromText="180" w:rightFromText="180" w:vertAnchor="text" w:horzAnchor="page" w:tblpX="6060" w:tblpY="387"/>
        <w:tblW w:w="44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4460"/>
      </w:tblGrid>
      <w:tr w14:paraId="3ABF91C7">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3116" w:hRule="atLeast"/>
        </w:trPr>
        <w:tc>
          <w:tcPr>
            <w:tcW w:w="4460" w:type="dxa"/>
            <w:tcBorders>
              <w:top w:val="dotDotDash" w:color="auto" w:sz="4" w:space="0"/>
              <w:left w:val="dotDotDash" w:color="auto" w:sz="4" w:space="0"/>
              <w:bottom w:val="dotDotDash" w:color="auto" w:sz="4" w:space="0"/>
              <w:right w:val="dotDotDash" w:color="auto" w:sz="4" w:space="0"/>
            </w:tcBorders>
            <w:noWrap/>
          </w:tcPr>
          <w:p w14:paraId="1D54D515">
            <w:pPr>
              <w:pageBreakBefore w:val="0"/>
              <w:widowControl w:val="0"/>
              <w:kinsoku/>
              <w:overflowPunct/>
              <w:topLinePunct w:val="0"/>
              <w:bidi w:val="0"/>
              <w:spacing w:line="560" w:lineRule="exact"/>
              <w:ind w:firstLine="320" w:firstLineChars="1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授权代理人身份证复印件</w:t>
            </w:r>
          </w:p>
          <w:p w14:paraId="4DA15024">
            <w:pPr>
              <w:pageBreakBefore w:val="0"/>
              <w:widowControl w:val="0"/>
              <w:kinsoku/>
              <w:overflowPunct/>
              <w:topLinePunct w:val="0"/>
              <w:bidi w:val="0"/>
              <w:spacing w:line="560" w:lineRule="exact"/>
              <w:textAlignment w:val="auto"/>
              <w:rPr>
                <w:rFonts w:ascii="宋体" w:hAnsi="宋体"/>
                <w:color w:val="auto"/>
                <w:sz w:val="24"/>
                <w:szCs w:val="24"/>
              </w:rPr>
            </w:pPr>
          </w:p>
          <w:p w14:paraId="6E46B283">
            <w:pPr>
              <w:pageBreakBefore w:val="0"/>
              <w:widowControl w:val="0"/>
              <w:kinsoku/>
              <w:overflowPunct/>
              <w:topLinePunct w:val="0"/>
              <w:bidi w:val="0"/>
              <w:spacing w:line="560" w:lineRule="exact"/>
              <w:textAlignment w:val="auto"/>
              <w:rPr>
                <w:rFonts w:ascii="宋体" w:hAnsi="宋体"/>
                <w:color w:val="auto"/>
                <w:sz w:val="24"/>
                <w:szCs w:val="24"/>
              </w:rPr>
            </w:pPr>
          </w:p>
          <w:p w14:paraId="093FCA14">
            <w:pPr>
              <w:pageBreakBefore w:val="0"/>
              <w:widowControl w:val="0"/>
              <w:kinsoku/>
              <w:overflowPunct/>
              <w:topLinePunct w:val="0"/>
              <w:bidi w:val="0"/>
              <w:spacing w:line="560" w:lineRule="exact"/>
              <w:textAlignment w:val="auto"/>
              <w:rPr>
                <w:rFonts w:ascii="宋体" w:hAnsi="宋体"/>
                <w:color w:val="auto"/>
                <w:sz w:val="24"/>
                <w:szCs w:val="24"/>
              </w:rPr>
            </w:pPr>
          </w:p>
          <w:p w14:paraId="3083C1E1">
            <w:pPr>
              <w:pageBreakBefore w:val="0"/>
              <w:widowControl w:val="0"/>
              <w:kinsoku/>
              <w:overflowPunct/>
              <w:topLinePunct w:val="0"/>
              <w:bidi w:val="0"/>
              <w:spacing w:line="560" w:lineRule="exact"/>
              <w:textAlignment w:val="auto"/>
              <w:rPr>
                <w:rFonts w:ascii="宋体" w:hAnsi="宋体"/>
                <w:color w:val="auto"/>
                <w:sz w:val="24"/>
                <w:szCs w:val="24"/>
              </w:rPr>
            </w:pPr>
          </w:p>
        </w:tc>
      </w:tr>
    </w:tbl>
    <w:tbl>
      <w:tblPr>
        <w:tblStyle w:val="13"/>
        <w:tblpPr w:leftFromText="180" w:rightFromText="180" w:vertAnchor="text" w:horzAnchor="page" w:tblpX="1395" w:tblpY="348"/>
        <w:tblW w:w="44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4460"/>
      </w:tblGrid>
      <w:tr w14:paraId="4EFBE7C1">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3116" w:hRule="atLeast"/>
        </w:trPr>
        <w:tc>
          <w:tcPr>
            <w:tcW w:w="4460" w:type="dxa"/>
            <w:tcBorders>
              <w:top w:val="dotDotDash" w:color="auto" w:sz="4" w:space="0"/>
              <w:left w:val="dotDotDash" w:color="auto" w:sz="4" w:space="0"/>
              <w:bottom w:val="dotDotDash" w:color="auto" w:sz="4" w:space="0"/>
              <w:right w:val="dotDotDash" w:color="auto" w:sz="4" w:space="0"/>
            </w:tcBorders>
            <w:noWrap/>
          </w:tcPr>
          <w:p w14:paraId="6BAEB9B8">
            <w:pPr>
              <w:pageBreakBefore w:val="0"/>
              <w:widowControl w:val="0"/>
              <w:kinsoku/>
              <w:overflowPunct/>
              <w:topLinePunct w:val="0"/>
              <w:bidi w:val="0"/>
              <w:spacing w:line="560" w:lineRule="exact"/>
              <w:ind w:firstLine="320" w:firstLineChars="100"/>
              <w:textAlignment w:val="auto"/>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法定代表人身份证复印件</w:t>
            </w:r>
          </w:p>
          <w:p w14:paraId="5EF6D12A">
            <w:pPr>
              <w:pageBreakBefore w:val="0"/>
              <w:widowControl w:val="0"/>
              <w:kinsoku/>
              <w:overflowPunct/>
              <w:topLinePunct w:val="0"/>
              <w:bidi w:val="0"/>
              <w:spacing w:line="560" w:lineRule="exact"/>
              <w:textAlignment w:val="auto"/>
              <w:rPr>
                <w:rFonts w:ascii="宋体" w:hAnsi="宋体"/>
                <w:color w:val="auto"/>
                <w:sz w:val="24"/>
                <w:szCs w:val="24"/>
              </w:rPr>
            </w:pPr>
          </w:p>
          <w:p w14:paraId="6BA06E62">
            <w:pPr>
              <w:pageBreakBefore w:val="0"/>
              <w:widowControl w:val="0"/>
              <w:kinsoku/>
              <w:overflowPunct/>
              <w:topLinePunct w:val="0"/>
              <w:bidi w:val="0"/>
              <w:spacing w:line="560" w:lineRule="exact"/>
              <w:textAlignment w:val="auto"/>
              <w:rPr>
                <w:rFonts w:ascii="宋体" w:hAnsi="宋体"/>
                <w:color w:val="auto"/>
                <w:sz w:val="24"/>
                <w:szCs w:val="24"/>
              </w:rPr>
            </w:pPr>
          </w:p>
          <w:p w14:paraId="2753C1C6">
            <w:pPr>
              <w:pageBreakBefore w:val="0"/>
              <w:widowControl w:val="0"/>
              <w:kinsoku/>
              <w:overflowPunct/>
              <w:topLinePunct w:val="0"/>
              <w:bidi w:val="0"/>
              <w:spacing w:line="560" w:lineRule="exact"/>
              <w:textAlignment w:val="auto"/>
              <w:rPr>
                <w:rFonts w:ascii="宋体" w:hAnsi="宋体"/>
                <w:color w:val="auto"/>
                <w:sz w:val="24"/>
                <w:szCs w:val="24"/>
              </w:rPr>
            </w:pPr>
          </w:p>
          <w:p w14:paraId="5550D3BF">
            <w:pPr>
              <w:pageBreakBefore w:val="0"/>
              <w:widowControl w:val="0"/>
              <w:kinsoku/>
              <w:overflowPunct/>
              <w:topLinePunct w:val="0"/>
              <w:bidi w:val="0"/>
              <w:spacing w:line="560" w:lineRule="exact"/>
              <w:textAlignment w:val="auto"/>
              <w:rPr>
                <w:rFonts w:ascii="宋体" w:hAnsi="宋体"/>
                <w:color w:val="auto"/>
                <w:sz w:val="24"/>
                <w:szCs w:val="24"/>
              </w:rPr>
            </w:pPr>
          </w:p>
        </w:tc>
      </w:tr>
    </w:tbl>
    <w:p w14:paraId="508E4AB4">
      <w:pPr>
        <w:pageBreakBefore w:val="0"/>
        <w:widowControl w:val="0"/>
        <w:kinsoku/>
        <w:overflowPunct/>
        <w:topLinePunct w:val="0"/>
        <w:bidi w:val="0"/>
        <w:spacing w:line="480" w:lineRule="exact"/>
        <w:textAlignment w:val="auto"/>
        <w:rPr>
          <w:color w:val="auto"/>
        </w:rPr>
      </w:pP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17FA16E-090A-4825-8074-265049AF77FB}"/>
  </w:font>
  <w:font w:name="Arial">
    <w:panose1 w:val="020B0604020202020204"/>
    <w:charset w:val="01"/>
    <w:family w:val="swiss"/>
    <w:pitch w:val="default"/>
    <w:sig w:usb0="E0002EFF" w:usb1="C000785B" w:usb2="00000009" w:usb3="00000000" w:csb0="400001FF" w:csb1="FFFF0000"/>
    <w:embedRegular r:id="rId2" w:fontKey="{BACD3299-C454-42D1-8C2F-C9D7329F8FA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176EE47A-2181-473B-8E6B-896DD0E02767}"/>
  </w:font>
  <w:font w:name="Symbol">
    <w:panose1 w:val="05050102010706020507"/>
    <w:charset w:val="02"/>
    <w:family w:val="roman"/>
    <w:pitch w:val="default"/>
    <w:sig w:usb0="00000000" w:usb1="00000000" w:usb2="00000000" w:usb3="00000000" w:csb0="80000000" w:csb1="00000000"/>
    <w:embedRegular r:id="rId4" w:fontKey="{23E3D479-3BDB-4DA4-9C8C-356B9615F165}"/>
  </w:font>
  <w:font w:name="Calibri">
    <w:panose1 w:val="020F0502020204030204"/>
    <w:charset w:val="00"/>
    <w:family w:val="swiss"/>
    <w:pitch w:val="default"/>
    <w:sig w:usb0="E4002EFF" w:usb1="C200247B" w:usb2="00000009" w:usb3="00000000" w:csb0="200001FF" w:csb1="00000000"/>
    <w:embedRegular r:id="rId5" w:fontKey="{D4EA19B3-5BA6-4BB7-8AA7-18E9DA38E079}"/>
  </w:font>
  <w:font w:name="方正小标宋_GBK">
    <w:panose1 w:val="03000509000000000000"/>
    <w:charset w:val="86"/>
    <w:family w:val="script"/>
    <w:pitch w:val="default"/>
    <w:sig w:usb0="00000001" w:usb1="080E0000" w:usb2="00000000" w:usb3="00000000" w:csb0="00040000" w:csb1="00000000"/>
    <w:embedRegular r:id="rId6" w:fontKey="{80067CC9-A78D-4C99-8913-633FE81ED7B6}"/>
  </w:font>
  <w:font w:name="方正仿宋_GBK">
    <w:panose1 w:val="03000509000000000000"/>
    <w:charset w:val="86"/>
    <w:family w:val="script"/>
    <w:pitch w:val="default"/>
    <w:sig w:usb0="00000001" w:usb1="080E0000" w:usb2="00000000" w:usb3="00000000" w:csb0="00040000" w:csb1="00000000"/>
    <w:embedRegular r:id="rId7" w:fontKey="{34E09D41-D9A2-4349-9F31-CEBA8EBD5496}"/>
  </w:font>
  <w:font w:name="方正黑体_GBK">
    <w:panose1 w:val="03000509000000000000"/>
    <w:charset w:val="86"/>
    <w:family w:val="auto"/>
    <w:pitch w:val="default"/>
    <w:sig w:usb0="00000001" w:usb1="080E0000" w:usb2="00000000" w:usb3="00000000" w:csb0="00040000" w:csb1="00000000"/>
    <w:embedRegular r:id="rId8" w:fontKey="{382721DF-6805-4595-9EBD-11CC188AF008}"/>
  </w:font>
  <w:font w:name="方正楷体_GBK">
    <w:panose1 w:val="03000509000000000000"/>
    <w:charset w:val="86"/>
    <w:family w:val="auto"/>
    <w:pitch w:val="default"/>
    <w:sig w:usb0="00000001" w:usb1="080E0000" w:usb2="00000000" w:usb3="00000000" w:csb0="00040000" w:csb1="00000000"/>
    <w:embedRegular r:id="rId9" w:fontKey="{28117C6F-97DC-48AE-8608-8C6C89B148F6}"/>
  </w:font>
  <w:font w:name="仿宋">
    <w:panose1 w:val="02010609060101010101"/>
    <w:charset w:val="86"/>
    <w:family w:val="modern"/>
    <w:pitch w:val="default"/>
    <w:sig w:usb0="800002BF" w:usb1="38CF7CFA" w:usb2="00000016" w:usb3="00000000" w:csb0="00040001" w:csb1="00000000"/>
    <w:embedRegular r:id="rId10" w:fontKey="{CC160096-FB9F-4B23-B8FF-A07F6E873A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FE22E">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5B091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5B091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8E38E8"/>
    <w:multiLevelType w:val="singleLevel"/>
    <w:tmpl w:val="418E38E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221"/>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mNjg2ZDY3OTQ2MDYxM2E1MzVhODJiYzJiYmQ0OTkifQ=="/>
  </w:docVars>
  <w:rsids>
    <w:rsidRoot w:val="03332EB3"/>
    <w:rsid w:val="00011E80"/>
    <w:rsid w:val="00665268"/>
    <w:rsid w:val="00D0142F"/>
    <w:rsid w:val="00FE5428"/>
    <w:rsid w:val="02A163DC"/>
    <w:rsid w:val="03332EB3"/>
    <w:rsid w:val="03E37E33"/>
    <w:rsid w:val="03FF6DF9"/>
    <w:rsid w:val="05945C3A"/>
    <w:rsid w:val="05D15B9D"/>
    <w:rsid w:val="0610233B"/>
    <w:rsid w:val="06D74AC1"/>
    <w:rsid w:val="06F129E8"/>
    <w:rsid w:val="07500F14"/>
    <w:rsid w:val="07F53357"/>
    <w:rsid w:val="08AE463F"/>
    <w:rsid w:val="08EE34C4"/>
    <w:rsid w:val="09DC68E6"/>
    <w:rsid w:val="0AD60CA4"/>
    <w:rsid w:val="0C2318B1"/>
    <w:rsid w:val="0CC54246"/>
    <w:rsid w:val="0E7268E2"/>
    <w:rsid w:val="0F2E5FF4"/>
    <w:rsid w:val="10095C41"/>
    <w:rsid w:val="1091497C"/>
    <w:rsid w:val="11993735"/>
    <w:rsid w:val="1450409E"/>
    <w:rsid w:val="1545661B"/>
    <w:rsid w:val="18540606"/>
    <w:rsid w:val="18577EAB"/>
    <w:rsid w:val="18C13709"/>
    <w:rsid w:val="18CE005B"/>
    <w:rsid w:val="191F5BC5"/>
    <w:rsid w:val="1B7A0209"/>
    <w:rsid w:val="1C152E70"/>
    <w:rsid w:val="1C4B1BED"/>
    <w:rsid w:val="1CBA09E0"/>
    <w:rsid w:val="1CBB4424"/>
    <w:rsid w:val="1EE06A35"/>
    <w:rsid w:val="1EE54A1C"/>
    <w:rsid w:val="1F537BE3"/>
    <w:rsid w:val="21257BAF"/>
    <w:rsid w:val="21960612"/>
    <w:rsid w:val="22626F9A"/>
    <w:rsid w:val="24516BE1"/>
    <w:rsid w:val="256C742F"/>
    <w:rsid w:val="27CA6F34"/>
    <w:rsid w:val="27E37A44"/>
    <w:rsid w:val="27E87326"/>
    <w:rsid w:val="28C40FEC"/>
    <w:rsid w:val="297E4E1A"/>
    <w:rsid w:val="298224D3"/>
    <w:rsid w:val="298A1DCB"/>
    <w:rsid w:val="299C661E"/>
    <w:rsid w:val="29DA0EE3"/>
    <w:rsid w:val="2BAD2389"/>
    <w:rsid w:val="2E162CCE"/>
    <w:rsid w:val="2E58772F"/>
    <w:rsid w:val="30EA240B"/>
    <w:rsid w:val="31390FE4"/>
    <w:rsid w:val="320E32D0"/>
    <w:rsid w:val="34096C85"/>
    <w:rsid w:val="34677F57"/>
    <w:rsid w:val="36303843"/>
    <w:rsid w:val="36E84CE9"/>
    <w:rsid w:val="39D3282F"/>
    <w:rsid w:val="3AD35451"/>
    <w:rsid w:val="3C191852"/>
    <w:rsid w:val="3CE237B8"/>
    <w:rsid w:val="3D470AC2"/>
    <w:rsid w:val="3DA87B2D"/>
    <w:rsid w:val="3F616DF0"/>
    <w:rsid w:val="40BF76D7"/>
    <w:rsid w:val="42860788"/>
    <w:rsid w:val="42B350D5"/>
    <w:rsid w:val="43F4232E"/>
    <w:rsid w:val="484E1E1A"/>
    <w:rsid w:val="49A14359"/>
    <w:rsid w:val="49E90EF8"/>
    <w:rsid w:val="4B8A77D8"/>
    <w:rsid w:val="4BA4739C"/>
    <w:rsid w:val="4BCE66ED"/>
    <w:rsid w:val="4C0040D9"/>
    <w:rsid w:val="4D382B66"/>
    <w:rsid w:val="4D5F6288"/>
    <w:rsid w:val="4F5E0F7B"/>
    <w:rsid w:val="501E7837"/>
    <w:rsid w:val="5149050B"/>
    <w:rsid w:val="52A2385F"/>
    <w:rsid w:val="52D73128"/>
    <w:rsid w:val="54E72A1A"/>
    <w:rsid w:val="56252678"/>
    <w:rsid w:val="56AA29EF"/>
    <w:rsid w:val="58692C7C"/>
    <w:rsid w:val="588F19E9"/>
    <w:rsid w:val="58B76826"/>
    <w:rsid w:val="5A3C02BD"/>
    <w:rsid w:val="5AC14CC9"/>
    <w:rsid w:val="5CCE423B"/>
    <w:rsid w:val="5EE01F7F"/>
    <w:rsid w:val="5F4F24CB"/>
    <w:rsid w:val="60012BC1"/>
    <w:rsid w:val="61924E8A"/>
    <w:rsid w:val="63124CDC"/>
    <w:rsid w:val="631D7976"/>
    <w:rsid w:val="635A7EAA"/>
    <w:rsid w:val="64456F89"/>
    <w:rsid w:val="649A666F"/>
    <w:rsid w:val="652C3B8A"/>
    <w:rsid w:val="66B568B9"/>
    <w:rsid w:val="67E13AB8"/>
    <w:rsid w:val="68924A06"/>
    <w:rsid w:val="68CA264C"/>
    <w:rsid w:val="6A0A06FD"/>
    <w:rsid w:val="6AAD39E3"/>
    <w:rsid w:val="6B634488"/>
    <w:rsid w:val="6B953E2D"/>
    <w:rsid w:val="6C7C2AE3"/>
    <w:rsid w:val="6D1E1C67"/>
    <w:rsid w:val="6DF65370"/>
    <w:rsid w:val="6F330095"/>
    <w:rsid w:val="6F34510F"/>
    <w:rsid w:val="7004069D"/>
    <w:rsid w:val="7016107E"/>
    <w:rsid w:val="70D65141"/>
    <w:rsid w:val="7157226A"/>
    <w:rsid w:val="71B1340F"/>
    <w:rsid w:val="71E65719"/>
    <w:rsid w:val="72BF3F35"/>
    <w:rsid w:val="74CC55F1"/>
    <w:rsid w:val="75662627"/>
    <w:rsid w:val="758E2041"/>
    <w:rsid w:val="75ED18FB"/>
    <w:rsid w:val="76E06DC0"/>
    <w:rsid w:val="78AE3721"/>
    <w:rsid w:val="79C14725"/>
    <w:rsid w:val="7A784C94"/>
    <w:rsid w:val="7B7001DE"/>
    <w:rsid w:val="7BAA4F23"/>
    <w:rsid w:val="7BDD5DCA"/>
    <w:rsid w:val="7D8A4D92"/>
    <w:rsid w:val="7D953D7C"/>
    <w:rsid w:val="7E7B3435"/>
    <w:rsid w:val="7EB069CB"/>
    <w:rsid w:val="7EE46A42"/>
    <w:rsid w:val="7F217965"/>
    <w:rsid w:val="7F6B4D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4"/>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qFormat/>
    <w:uiPriority w:val="99"/>
    <w:pPr>
      <w:keepNext/>
      <w:keepLines/>
      <w:spacing w:line="413" w:lineRule="auto"/>
      <w:outlineLvl w:val="2"/>
    </w:pPr>
    <w:rPr>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4">
    <w:name w:val="Normal Indent"/>
    <w:basedOn w:val="1"/>
    <w:qFormat/>
    <w:uiPriority w:val="0"/>
    <w:pPr>
      <w:ind w:firstLine="420"/>
    </w:pPr>
  </w:style>
  <w:style w:type="paragraph" w:styleId="6">
    <w:name w:val="Body Text Indent"/>
    <w:basedOn w:val="1"/>
    <w:next w:val="7"/>
    <w:qFormat/>
    <w:uiPriority w:val="0"/>
    <w:pPr>
      <w:spacing w:line="700" w:lineRule="exact"/>
      <w:ind w:left="960"/>
    </w:pPr>
    <w:rPr>
      <w:sz w:val="44"/>
    </w:rPr>
  </w:style>
  <w:style w:type="paragraph" w:styleId="7">
    <w:name w:val="envelope return"/>
    <w:basedOn w:val="1"/>
    <w:qFormat/>
    <w:uiPriority w:val="0"/>
    <w:pPr>
      <w:snapToGrid w:val="0"/>
    </w:pPr>
    <w:rPr>
      <w:rFonts w:ascii="Arial" w:hAnsi="Arial"/>
    </w:rPr>
  </w:style>
  <w:style w:type="paragraph" w:styleId="8">
    <w:name w:val="Plain Text"/>
    <w:basedOn w:val="1"/>
    <w:next w:val="1"/>
    <w:qFormat/>
    <w:uiPriority w:val="0"/>
    <w:pPr>
      <w:widowControl w:val="0"/>
      <w:jc w:val="both"/>
    </w:pPr>
    <w:rPr>
      <w:rFonts w:ascii="宋体" w:eastAsia="宋体" w:cs="Times New Roman"/>
      <w:kern w:val="2"/>
      <w:sz w:val="21"/>
      <w:lang w:val="en-US" w:eastAsia="zh-CN" w:bidi="ar-SA"/>
    </w:r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1">
    <w:name w:val="Title"/>
    <w:basedOn w:val="2"/>
    <w:next w:val="1"/>
    <w:qFormat/>
    <w:uiPriority w:val="0"/>
    <w:pPr>
      <w:spacing w:line="560" w:lineRule="exact"/>
      <w:jc w:val="center"/>
    </w:pPr>
    <w:rPr>
      <w:rFonts w:ascii="方正小标宋_GBK" w:eastAsia="方正小标宋_GBK"/>
      <w:color w:val="000000"/>
      <w:sz w:val="44"/>
      <w:szCs w:val="44"/>
    </w:rPr>
  </w:style>
  <w:style w:type="paragraph" w:styleId="12">
    <w:name w:val="Body Text First Indent 2"/>
    <w:basedOn w:val="6"/>
    <w:qFormat/>
    <w:uiPriority w:val="0"/>
    <w:pPr>
      <w:spacing w:line="240" w:lineRule="auto"/>
      <w:ind w:left="420" w:leftChars="200" w:firstLine="420"/>
    </w:pPr>
    <w:rPr>
      <w:sz w:val="21"/>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qFormat/>
    <w:uiPriority w:val="0"/>
    <w:rPr>
      <w:color w:val="0000FF"/>
      <w:u w:val="single"/>
    </w:rPr>
  </w:style>
  <w:style w:type="character" w:styleId="17">
    <w:name w:val="annotation reference"/>
    <w:qFormat/>
    <w:uiPriority w:val="0"/>
    <w:rPr>
      <w:sz w:val="21"/>
      <w:szCs w:val="21"/>
    </w:rPr>
  </w:style>
  <w:style w:type="paragraph" w:customStyle="1" w:styleId="18">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character" w:customStyle="1" w:styleId="19">
    <w:name w:val="页眉 Char"/>
    <w:basedOn w:val="15"/>
    <w:link w:val="10"/>
    <w:qFormat/>
    <w:uiPriority w:val="0"/>
    <w:rPr>
      <w:kern w:val="2"/>
      <w:sz w:val="18"/>
      <w:szCs w:val="18"/>
    </w:rPr>
  </w:style>
  <w:style w:type="character" w:customStyle="1" w:styleId="20">
    <w:name w:val="页脚 Char"/>
    <w:basedOn w:val="15"/>
    <w:link w:val="9"/>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江津区中心医院</Company>
  <Pages>8</Pages>
  <Words>2151</Words>
  <Characters>2189</Characters>
  <Lines>17</Lines>
  <Paragraphs>4</Paragraphs>
  <TotalTime>5</TotalTime>
  <ScaleCrop>false</ScaleCrop>
  <LinksUpToDate>false</LinksUpToDate>
  <CharactersWithSpaces>2364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2020-03-09T07:57:00Z</dcterms:created>
  <dc:creator>石丹丹啊</dc:creator>
  <cp:lastModifiedBy>江海湖</cp:lastModifiedBy>
  <cp:lastPrinted>2026-08-25T07:29:00Z</cp:lastPrinted>
  <dcterms:modified xsi:type="dcterms:W3CDTF">2026-08-25T09:19:38Z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SaveFontToCloudKey">
    <vt:lpwstr>0_embed</vt:lpwstr>
  </property>
  <property fmtid="{D5CDD505-2E9C-101B-9397-08002B2CF9AE}" pid="4" name="ICV">
    <vt:lpwstr>B1097BEDCC1C44818105DD5B852EDC8A_13</vt:lpwstr>
  </property>
  <property fmtid="{D5CDD505-2E9C-101B-9397-08002B2CF9AE}" pid="5" name="KSOTemplateDocerSaveRecord">
    <vt:lpwstr>eyJoZGlkIjoiNWRmM2ViMWM0ZmY3MWVlOGRkODQwOTM3Njg3NDg3ZmEiLCJ1c2VySWQiOiI0NTgwMjIzODYifQ==</vt:lpwstr>
  </property>
</Properties>
</file>